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87 vom 11. Februar 2013</w:t>
      </w:r>
    </w:p>
    <w:p>
      <w:r>
        <w:t>VD Tribunal cantonal, 2013-02-11, FR</w:t>
      </w:r>
    </w:p>
    <w:p>
      <w:r>
        <w:rPr>
          <w:b/>
        </w:rPr>
        <w:t xml:space="preserve">Quelle: </w:t>
      </w:r>
      <w:r>
        <w:t>https://mcp.opencaselaw.ch/entscheid/vd_findinfo_HC___2013___87</w:t>
      </w:r>
    </w:p>
    <w:p>
      <w:r>
        <w:t>FR: VD_FINDINFO HC / 2013 / 87 du 11 février 2013</w:t>
      </w:r>
    </w:p>
    <w:p>
      <w:r>
        <w:t>IT: VD_FINDINFO HC / 2013 / 87 del 11 febbraio 2013</w:t>
      </w:r>
    </w:p>
    <w:p>
      <w:pPr>
        <w:pStyle w:val="Heading2"/>
      </w:pPr>
      <w:r>
        <w:t>Regeste</w:t>
      </w:r>
    </w:p>
    <w:p>
      <w:r>
        <w:t>DÉTENTION AUX FINS D'EXPULSION, MESURE DE CONTRAINTE{DROIT DES ÉTRANGERS}, PROPORTIONNALITÉ, RISQUE DE FUITE | 76 al. 1 let. b ch. 3 LEtr, 76 al. 1 let. b ch. 4 LEtr, 79 LEtr, 30 al. 2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à la forme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En l'espèce, la pièce produite par le recourant est recevable. Le recourant requiert que les autorités compétentes en matière de police des étrangers interpellent les autorités espagnoles, afin qu'un nouveau titre de séjour lui soit délivré pour qu'il puisse être renvoyé dans ce pays. Il résulte des déterminations et des pièces produites par le SPOP que ce service a sollicité des autorités espagnoles, par l'intermédiaire de l'ODM, la réadmission de l'intéressé. Ces dernières ont demandé la production de la fiche dactyloscopique du recourant et cette requête a été transmise à la Police cantonale. Les démarches sont donc en cours et elles sont suffisantes pour permettre à la cour de céans de statuer.</w:t>
      </w:r>
    </w:p>
    <w:p>
      <w:r>
        <w:rPr>
          <w:b/>
        </w:rPr>
        <w:t>E. 3</w:t>
      </w:r>
    </w:p>
    <w:p>
      <w:r>
        <w:t>Le Juge de paix du district de Lausanne est l'autorité compétente en vertu des art. 17 et 20 LVLEtr. Saisi d'une requête motivée et documentée du SPOP du 21 décembre 2012, ce magistrat a procédé à l'audition du recourant le même jour, en présence notamment d'un interprète. Le recourant a été entendu et ses déclarations ont été résumées au procès-verbal dans ce qu'elles avaient d'utile à retenir (art. 21 al. 1 et 2 LVLEtr). A l'issue de l'audition, le premier juge a immédiatement rendu un ordre de détention et sa décision motivée a été notifiée le même jour au recourant, soit dans le délai légal de nonante-six heures (art. 16 al. 1 LVLEtr). La procédure suivie ne souffre donc d'aucune irrégularité.</w:t>
      </w:r>
    </w:p>
    <w:p>
      <w:r>
        <w:rPr>
          <w:b/>
        </w:rPr>
        <w:t>E. 4.1</w:t>
      </w:r>
    </w:p>
    <w:p>
      <w:r>
        <w:t>Le recourant s'oppose à son renvoi vers la Gambie et soutient qu'il est autorisé à séjourner en Espagne. Il serait donc disposé à prendre place dans un avion à destination de l'Espagne mais il s'opposera "farouchement" à tout acte de renvoi à destination de son pays d'origine. Il invoque en outre "les obligations internationales de la Suisse" en vue d'un renvoi dans le pays de son choix où il est autorisé à résider. Dès lors que le recourant serait disposée à rentrer volontairement en Espagne, la détention serait disproportionnée.</w:t>
      </w:r>
    </w:p>
    <w:p>
      <w:r>
        <w:rPr>
          <w:b/>
        </w:rPr>
        <w:t>E. 4.2</w:t>
      </w:r>
    </w:p>
    <w:p>
      <w:r>
        <w:t>Selon l'art. 76 al. 1 let. b ch. 3 LEtr, lorsqu'une décision de renvoi d'expulsion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4 LAsi (loi du 26 juin 1998 sur l'asile, RS 142.31). Elle peut également la placer en détention selon l'art. 276 al. 1 let. b ch. 4 LEtr si son comportement permet de conclure qu'elle se refuse à obtempérer aux instructions des autorités. Ces deux chiffres décrivent des comportements permettant de conclure à l'existence d'un risque de fuite ou de disparition (Unterauchensgefahr)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au sens de la jurisprudence du Tribunal fédéral (ATF 129 I 139 c. 4.2.1; ATF 130 lI 56 c. 3.1; ATF 125 lI 369 c. 3b/aa; ATF 122 lI 49 c. 2a, rés. In JT 1998 I 95).</w:t>
      </w:r>
    </w:p>
    <w:p>
      <w:r>
        <w:rPr>
          <w:b/>
        </w:rPr>
        <w:t>E. 4.3</w:t>
      </w:r>
    </w:p>
    <w:p>
      <w:r>
        <w:t>En l'espèce, il résulte tant des déclarations du recourant devant le premier juge que du contenu de son recours qu'il n'entend pas obtempérer à son renvoi dans son pays d'origine. Pour ce seul motif déjà, sa détention paraît justifiée. En outre, le recourant a déjà fait l'objet d'une détention administrative et d'un renvoi dans son pays d'origine, ce qui ne l'a pas empêché de revenir en Suisse au mépris de toutes les décisions administratives rendues antérieurement. Il a en outre été condamné à plusieurs reprises pour séjour illégal, recel et contravention à la LStup. Il n'y a donc rien dans le comportement prévisible du recourant qui permettrait de retenir qu'il quittera la Suisse par un retour volontaire. Les autorités de police des étrangers procèdent sans désemparer à toutes les démarches permettant de déterminer si le recourant dispose d'un titre de séjour en Espagne, étant précisé qu'elles sont nécessitées par les carences de ce dernier, qui a prétendu avoir perdu le document délivré par les autorités espagnoles. Ce n'est à l'évidence que si ces démarches aboutissent qu'il pourra être renvoyé vers l'Espagne. A défaut, il devra être renvoyé vers son pays d'origine. Enfin, la mesure attaquée respecte le principe de proportionnalité, dès lors que le refoulement du recourant sera exécuté avant l'échéance du délai maximal de détention de dix-huit mois prévu par la loi (art. 79 al. 1 et 2 LEtr) et que ce n'est, selon le Tribunal fédéral, que lorsque des raisons sérieuses laissent penser que la mesure ne pourra certainement pas intervenir avant la fin de ce délai qu'une détention est inadmissible sous l'angle de la proportionnalité (TF 2A.548/2003 du 26 novembre 2003).</w:t>
      </w:r>
    </w:p>
    <w:p>
      <w:r>
        <w:rPr>
          <w:b/>
        </w:rPr>
        <w:t>E. 5</w:t>
      </w:r>
    </w:p>
    <w:p>
      <w:r>
        <w:t>Le recours doit ainsi être rejeté et l'ordonnance confirmée. L'arrêt peut être rendu sans frais.</w:t>
      </w:r>
    </w:p>
    <w:p>
      <w:r>
        <w:rPr>
          <w:b/>
        </w:rPr>
        <w:t>E. 6</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Dominique d'Eggis a produit le 17 janvier 2013 une liste des opérations effectuées devant la cour de céans pour la fixation de son indemnité d'assistance judiciaire, annonçant 5 heures de travail et 25 fr. de débours. Cette liste peut être admise de sorte qu'il y a lieu de fixer l'indemnité d'office à 900 fr. pour ses honoraires (5 x 180 fr.), TVA par 72 fr. en sus, plus 25 fr. de débours, TVA par 2 fr. en sus, soit une indemnité d'office totalisant 999 francs. Par ces motifs, la Chambre des recours civile du Tribunal cantonal, statuant à huis clos, prononce : I. Le recours est rejeté. II. L'ordonnance est confirmée. III. L'arrêt est rendu sans frais. IV. L'indemnité d'office de Me Dominique d'Eggis, conseil du recourant, est arrêtée à 999 fr. (neuf cent nonante-neuf francs), TVA et débours compris. V. L'arrêt motivé est exécutoire. Le président :               Le greffier : Du 12 février 2013 Le dispositif de l'arrêt qui précède est communiqué par écrit aux intéressés. Le greffier : Du L'arrêt qui précède, dont la rédaction a été approuvée à huis clos, est notifié en expédition complète, par l'envoi de photocopies, à : ‑ Me Dominique d'Eggis (pour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