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865 vom 10. Dezember 2013</w:t>
      </w:r>
    </w:p>
    <w:p>
      <w:r>
        <w:t>VD Tribunal cantonal, 2013-12-10, FR</w:t>
      </w:r>
    </w:p>
    <w:p>
      <w:r>
        <w:rPr>
          <w:b/>
        </w:rPr>
        <w:t xml:space="preserve">Quelle: </w:t>
      </w:r>
      <w:r>
        <w:t>https://mcp.opencaselaw.ch/entscheid/vd_findinfo_HC___2013___865</w:t>
      </w:r>
    </w:p>
    <w:p>
      <w:r>
        <w:t>FR: VD_FINDINFO HC / 2013 / 865 du 10 décembre 2013</w:t>
      </w:r>
    </w:p>
    <w:p>
      <w:r>
        <w:t>IT: VD_FINDINFO HC / 2013 / 865 del 10 dicembre 2013</w:t>
      </w:r>
    </w:p>
    <w:p>
      <w:pPr>
        <w:pStyle w:val="Heading2"/>
      </w:pPr>
      <w:r>
        <w:t>Regeste</w:t>
      </w:r>
    </w:p>
    <w:p>
      <w:r>
        <w:t>DROIT D'ÊTRE ENTENDU, ADMINISTRATION DES PREUVES, RÉPONSE{ACTION EN JUSTICE} | 29 al. 1 Cst.</w:t>
      </w:r>
    </w:p>
    <w:p>
      <w:pPr>
        <w:pStyle w:val="Heading2"/>
      </w:pPr>
      <w:r>
        <w:t>Erwägungen</w:t>
      </w:r>
    </w:p>
    <w:p>
      <w:r>
        <w:rPr>
          <w:b/>
        </w:rPr>
        <w:t>E. 1</w:t>
      </w:r>
    </w:p>
    <w:p>
      <w:r>
        <w:t>L'appel est recevable contre les décisions finales de première instance (art. 308 al. 1 let. a CPC [Code de procédure civile du 19 décembre 2008 ; RS 272]) au sens de l'art. 236 CPC, dans les causes patrimoniales dont la valeur litigieuse est de 10'000 fr. au moins (art. 308 al. 2 CPC). En l’espèce, seuls les intérêts et les frais de la procédure en cours ne sont pas pris en compte pour le calcul de la valeur litigieuse (art. 91 al. 1 CPC). Le dommage supplémentaire selon l’art. 106 CO par 802 fr., de même que la « créance secondaire » par 380 fr. 65 constituent ainsi des postes qui doivent s’ajouter au capital de 9'428 fr. 90, de sorte que la valeur litigieuse est supérieure à 10'000 fr., contrairement à ce que soutient l’intimée. Formé en temps utile (art. 314 al. 1 CPC) par une partie qui y a intérêt (art. 59 al. 2 let. a CPC), l'appel est recevable.</w:t>
      </w:r>
    </w:p>
    <w:p>
      <w:r>
        <w:rPr>
          <w:b/>
        </w:rPr>
        <w:t>E. 2</w:t>
      </w:r>
    </w:p>
    <w:p>
      <w:r>
        <w:t>a) L’appelant se plaint principalement d’une violation de son droit d’être entendu et subsidiairement d’une violation des art. 257 ss CPC. Vu la nature formelle du droit d'être entendu, dont la violation entraîne l'annulation de la décision attaquée indépendamment des chances de succès du recours sur le fond (ATF 127 V 431 c. 3d/aa), il convient d'examiner en priorité (ATF 124 I 49 c. 1) le moyen tiré de la violation de ce droit. b) Compris comme l'un des aspects de la notion générale de procès équitable au sens des art. 29 al. 1 Cst. (Constitution fédérale de la Confédération suisse du 18 avril 1999 ; RS 101) et 6 par. 1 CEDH, le droit d'être entendu comporte le droit de prendre connaissance de toute prise de position soumise au juge et de se déterminer à ce propos, que celle-ci contienne ou non de nouveaux arguments de fait ou de droit et qu'elle soit ou non concrètement susceptible d'influer sur la décision ; ce droit de réplique vaut pour toutes les procédures judiciaires, y compris celles qui ne sont pas englobées dans le champ de protection de l'art. 6 par. 1 CEDH (ATF 138 I 154 c. 2.3.3 ; ATF 137 I 195 c. 2.3.1 ; ATF 133 I 100 c. 4 et les références citées). Il comprend également pour le justiciable le droit d'obtenir l'administration des preuves pertinentes et valablement offertes, de participer à l'administration des preuves essentielles et de se déterminer sur son résultat lorsque cela est de nature à influer sur la décision à rendre (ATF 134 I 140 c. 5.3 ; ATF 133 I 270 c. 3.1 ; ATF 126 I 15 c. 2a/aa ; ATF 124 I 49 c. 3a). c) En l’espèce, force est de constater avec l’appelant que le Président du Tribunal civil a violé à deux égards le droit d’être entendu de ce dernier. D’une part, alors qu’il avait donné suite à la requête du demandeur tendant à la production par la défenderesse de tous les formulaires d’ouverture de son compte AMEX en 2008 – preuve qu’il a considérée comme a priori pertinente puisqu’il en a ordonné l’administration –, le premier juge a statué le 27 septembre 2013 sans même attendre l’administration de cette preuve, la défenderesse ayant obtenu une prolongation au 30 septembre 2013 pour produire les pièces requises. D’autre part, le premier juge a statué sans avoir communiqué au demandeur la réponse de la défenderesse du 19 août 2013, de sorte que le demandeur n’a pas eu la possibilité de prendre connaissance de cette écriture et de se déterminer sur celle-ci, alors que le premier juge l’a lui-même considérée comme pertinente puisqu’il a relevé dans sa décision que la défenderesse y faisait valoir des objections qui n’apparaissaient pas d’emblée dénuées de pertinence. d) Cette double violation du droit d’être entendu de l’appelant ne saurait, compte tenu de sa gravité, être réparée en procédure d’appel. Elle entraîne l’annulation du prononcé attaqué, sans qu’il y ait lieu d’examiner celui-ci sur le fond.</w:t>
      </w:r>
    </w:p>
    <w:p>
      <w:r>
        <w:rPr>
          <w:b/>
        </w:rPr>
        <w:t>E. 3</w:t>
      </w:r>
    </w:p>
    <w:p>
      <w:r>
        <w:t>a) Il résulte de ce qui précède que l’appel, fondé, doit être admis, le prononcé attaqué annulé et le dossier de la cause renvoyé au premier juge pour que celui-ci statue à nouveau après avoir respecté le droit d’être entendu de l’appelant. b) Vu l’issue de l’appel, les frais judiciaires de la procédure de deuxième instance, qui doivent être arrêtés à 745 fr. (art. 62 al. 1 TFJC [tarif des frais judiciaires en matière civile du 28 septembre 2010 ; RSV 270.11.5]), seront mis à la charge de l’intimée, qui succombe (art. 106 al. 1 CPC). L’intimée versera en outre à l’appelant un montant de 1'000 fr. à titre de dépens de deuxième instance (art. 95 al. 3 et 106 al. 1 CPC) et restituera à l’appelant l’avance de frais effectuée par celui-ci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