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853 vom 12. Dezember 2013</w:t>
      </w:r>
    </w:p>
    <w:p>
      <w:r>
        <w:t>VD Tribunal cantonal, 2013-12-12, FR</w:t>
      </w:r>
    </w:p>
    <w:p>
      <w:r>
        <w:rPr>
          <w:b/>
        </w:rPr>
        <w:t xml:space="preserve">Quelle: </w:t>
      </w:r>
      <w:r>
        <w:t>https://mcp.opencaselaw.ch/entscheid/vd_findinfo_HC___2013___853</w:t>
      </w:r>
    </w:p>
    <w:p>
      <w:r>
        <w:t>FR: VD_FINDINFO HC / 2013 / 853 du 12 décembre 2013</w:t>
      </w:r>
    </w:p>
    <w:p>
      <w:r>
        <w:t>IT: VD_FINDINFO HC / 2013 / 853 del 12 dicembre 2013</w:t>
      </w:r>
    </w:p>
    <w:p>
      <w:pPr>
        <w:pStyle w:val="Heading2"/>
      </w:pPr>
      <w:r>
        <w:t>Regeste</w:t>
      </w:r>
    </w:p>
    <w:p>
      <w:r>
        <w:t>MESURE PROVISIONNELLE, DIVORCE, LITISPENDANCE, DROIT ÉTRANGER, RESSORTISSANT ÉTRANGER, OBLIGATION D'ENTRETIEN, CONJOINT | 179 CC, 10 LDIP, 62 al. 1 LDIP</w:t>
      </w:r>
    </w:p>
    <w:p>
      <w:pPr>
        <w:pStyle w:val="Heading2"/>
      </w:pPr>
      <w:r>
        <w:t>Erwägungen</w:t>
      </w:r>
    </w:p>
    <w:p>
      <w:r>
        <w:rPr>
          <w:b/>
        </w:rPr>
        <w:t>E. 1</w:t>
      </w:r>
    </w:p>
    <w:p>
      <w:r>
        <w:t>L'appel est recevable contre les ordonnances de mesures provisionnelles (art. 308 al. 1 let. b CPC [Code de procédure civile du 19 novembre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 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(sur des conclusions partiellement non patrimoniales),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l'arrêt 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sur le tout: JT 2011 III 43). En l’espèce, outre les pièces de forme (pièces 201 à 203, et 207), qui sont strictement liées à la procédure d’appel et sont donc recevables, l’appelant a produit diverses pièces à l’appui de ses conclusions en appel. La pièce 204, soit l’assignation à l’audience en matière de divorce tenue au Tribunal de première instance de [...] (Tunisie), figure déjà au dossier de première instance, de sorte que la question de sa recevabilité ne se pose pas. Les pièces 205 et 206, qui portent sur les prix des transports de Genève à [...], sont irrecevables. En effet, l’appelant pouvait effectuer, pendant la procédure de première instance, les mêmes recherches relatives aux coûts des transports que celles qui lui ont permis de produire ces pièces. Est également irrecevable la requête de l’appelant tendant au dépôt du passeport de l’intimée en vue d’établir que son celle-ci se rend régulièrement en Tunisie auprès de sa famille, dans la mesure où l’appelant ne soutient pas qu’il n’aurait appris ce fait que récemment. L’intimée L.________ a produit plusieurs pièces nouvelles en vue d’établir sa situation financière. Certaines d’entre elles ne pouvaient pas être produites en première instance et sont recevables en appel. Il s’agit de ses fiches de salaires actualisées pour la période du 1 er mai au 31 août 2013, de la facture du 8 octobre 2013 relative à sa carte de crédit [...] et de la convention de paiement du 9 janvier 2013 qui la lie à la société [...]. Le contrat de prêt du 16 juillet 2013 conclu avec l’EMS [...] est également recevable. En revanche, les fiches de salaire antérieures à l’audience du 17 mai 2013 devaient être produites en première instance et sont irrecevables. Quant à la note de frais du mandataire de la requérante en Tunisie, sa recevabilité est discutable. D’une part, cette note est postérieure à l’audience du 17 mai 2013 tenue en première instance. D’autre part, l’intimée aurait pu produire, si elle estimait un tel moyen de preuve utile, une note de frais intermédiaire de son mandataire tunisien en première instance déjà. La question doit toutefois demeurer ouverte, compte tenu de ce qui suit.</w:t>
      </w:r>
    </w:p>
    <w:p>
      <w:r>
        <w:rPr>
          <w:b/>
        </w:rPr>
        <w:t>E. 3</w:t>
      </w:r>
    </w:p>
    <w:p>
      <w:r>
        <w:t>Dans un premier moyen, l’appelant conteste la compétence de la Présidente du Tribunal civil de l’arrondissement de la Broye et du Nord vaudois pour ordonner des mesures provisionnelles alors qu’une procédure de divorce est pendante devant un tribunal tunisien. Selon lui, les conditions d’application de l’art. 10 LDIP ne sont pas remplies, dès lors que le droit tunisien connaît l’institution des mesures provisionnelles en procédure de divorce, et que l’urgence de traiter la cause en Suisse n’est pas établie. b) Aux termes de l’art. 62 al. 1 LDIP, le tribunal suisse saisi d'une action en divorce ou en séparation de corps est compétent pour ordonner des mesures provisoires, sauf si son incompétence pour statuer au fond est manifeste ou a été constatée par une décision ayant force de chose jugée. En l’espèce, il est incontesté que les tribunaux tunisiens sont valablement saisis de la procédure de divorce, et non les tribunaux suisses. L’art. 62 al. 1 LDIP ne fonde par conséquent aucune compétence des tribunaux suisses pour ordonner des mesures provisionnelles. c) L’art. 10 LDIP prévoit que les tribunaux ou les autorités suisses sont en principe compétents pour prononcer des mesures provisoires s’ils sont compétents au fond (let. a) ou s’ils se trouvent au lieu d’exécution de la mesure (let. b). Cette disposition fonde une compétence subsidiaire des tribunaux suisses pour ordonner des mesures provisionnelles lorsque l’action au fond est pendante devant un tribunal étranger. Dans le cas particulier des procédures de divorce, la jurisprudence du Tribunal fédéral relative à l’art. 10 LDIP n’admet cette compétence subsidiaire des autorités suisses que si les mesures requises sont urgentes et nécessaires, par souci d’assurer une protection sans lacune aux parties dans les divorces internationaux (ATF 134 III 326 c. 3.4, JT 2009 I 215). Le Tribunal fédéral n’admet ainsi la compétence du juge suisse pour prononcer des mesures provisionnelles sur la base de l’art. 10 LDIP, bien que l’action en divorce soit traitée au fond par une juridiction étrangère, que si le droit du juge du divorce ne connaît pas une réglementation provisoire, analogue à celle du droit suisse, de la situation des époux en instance de divorce, si des mesures ordonnées par le juge étranger ne peuvent pas être exécutées au domicile des parties en Suisse, si des mesures doivent être ordonnées pour garantir une exécution future sur des biens sis en Suisse, s’il y a péril en la demeure ou si l’on ne saurait espérer que le tribunal à l'étranger prendra une décision dans un délai convenable (ATF 134 III 326 c. 3.5.1). d) En l’occurrence, le premier juge a constaté que la capacité de l’intimée à assumer les dépenses nécessaires à son minimum vital pouvait être sérieusement compromise si aucune mesure provisoire n’était prononcée à bref délai. Ce constat n’est pas critiquable. L’appelant a pour sa part allégué que de telles mesures pouvaient être prononcées dans le cadre de la procédure de divorce pendante en Tunisie. Toutefois, l’autorité de première instance à mis en évidence qu’il était peu probable que les autorités tunisiennes saisies de la procédure au fond puissent ordonner des mesures provisionnelles dans un délai convenable, compte tenu de l’urgence de la situation et du domicile des deux époux en Suisse, qui compliquerait l’avancement de la procédure. Elle n’a par ailleurs pas exclu, à juste titre, que l’instabilité politique que connaît actuellement la Tunisie ait un effet ponctuellement néfaste sur l’efficience de ses institutions judiciaires. Enfin, vu le domicile des deux époux dans le canton de Vaud, les mesures provisionnelles devraient être exécutées en Suisse. Or, il n’est pas certain que des mesures provisionnelles prononcées en Tunisie puissent être déclarées exécutoires en Suisse, en l’absence de convention en la matière entre la Suisse et la Tunisie. En effet, lorsqu’aucune convention internationale n’est applicable, une partie de la doctrine relative à l’art. 25 LDIP – relatif aux conditions de la reconnaissance des décisions étrangères –, considère qu’une ordonnance de mesure provisionnelle prononcée à l’étranger ne peut être reconnue en Suisse dès lors qu’elle ne revêt pas un caractère définitif (cf. Monique Jagmetti Greiner, FamKom Scheidung, Anh IPR, 2 ème éd., no 49 p. 614; sur la controverse, mais en faveur de la reconnaissance : Andreas Bucher, Commentaire romand, LDIP – CL, n. 24 ss ad art. 25 LDIP). Dans ces conditions, on ne saurait exiger de l’intimée qu’elle dépose une requête de mesures provisionnelles en Tunisie plutôt que d’agir en Suisse où les deux époux sont domiciliés, puis qu’elle attende une décision sur cette requête, sans savoir dans quel délai elle pourrait être rendue ni si la décision pourra être déclarée exécutoire en Suisse. Sa situation financière critique justifiait au contraire d’agir en Suisse pour obtenir au plus tôt des mesures provisionnelles dont le caractère exécutoire ne ferait aucun doute. Partant, l’autorité de première instance a reconnu à juste titre sa compétence. Le grief de l’appelant est dès lors mal fondé et doit être rejeté.</w:t>
      </w:r>
    </w:p>
    <w:p>
      <w:r>
        <w:rPr>
          <w:b/>
        </w:rPr>
        <w:t>E. 4</w:t>
      </w:r>
    </w:p>
    <w:p>
      <w:r>
        <w:t>a) Dans un second grief, l’appelant conteste qu’un changement de circonstance significatif soit survenu depuis la convention du 15 février 2012 en audience de mesures protectrices de l’union conjugale, convention par laquelle l’épouse avait renoncé à toute contribution d’entretien. Partant, une modification de ces mesures ne serait pas justifiée. L’appelant conteste en particulier que l’emprunt fait par son épouse auprès de son employeur – et qui est remboursé au moyen de prélèvements sur son salaire – ait servi à financer les frais occasionnés par la procédure de divorce en Tunisie. b) Une fois ordonnées, les mesures protectrices de l'union conjugale ne peuvent être modifiées qu'aux conditions de l'art. 179 CC. Cette disposition s'applique également à la requête de mesures provisionnelles tendant à modifier les mesures protectrices prononcées auparavant (TF 5A_502/2010 du 25 juillet 2011 c. 3.2.2, publié in: FamPra.ch 2011 p. 993). Ces mesures ne peuvent être modifiées que si, depuis leur prononcé, les circonstances de fait ont changé d'une manière essentielle et durable, ou encore si le juge s'est fondé sur des faits erronés (TF 5A_400/2012 du 25 février 2013 c. 4.1;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Par contre, une mauvaise appréciation, en fait ou en droit, des circonstances initiales (TF 5A_511/2010 du 4 février 2011 c. 2.1; 5A_618/2009 du 14 décembre 2009 c. 3.2.2) ne peut être invoquée, seules les voies de recours étant ouvertes pour faire valoir de tels motifs (TF 5A_147/2012 du 26 avril 2012 c. 4.2.1). c) En l’espèce, l’audience de mesures protectrices de l’union conjugale du 15 février 2012 a été appointée à la suite du dépôt d’une requête de mesures protectrices déposée le 6 février 2012 par l’appelant. Une conciliation entre les parties est intervenue, sans que l’on connaisse exactement la situation financière des parties prise en considération à l’époque, dans la mesure notamment où une réponse écrite à la requête de mesures protectrices n’avait pas été requise. Peu après cette audience, l’appelant a ouvert une procédure de divorce en Tunisie. Lors de l’audience de conciliation du 11 juillet 2012, dans la procédure de divorce, l’épouse s’est opposée au divorce en se déclarant attachée à la vie conjugale. Le 23 juillet 2012, toutefois, elle a écrit au Président du Tribunal civil de l’arrondissement de la Broye et du Nord vaudois pour demander qu’une contribution d’entretien lui soit octroyée. Elle exposait notamment que son époux avait quitté le domicile conjugal le 7 janvier 2012 sans aucune explication et qu’elle ne savait pas pourquoi il avait changé depuis qu’il était à la retraite. Elle indiquait ensuite que selon elle, son époux souhaitait quitter définitivement la Suisse, qu’elle n’avait pas les moyens financiers de retourner en Tunisie pour poursuivre la procédure de divorce et que par conséquent, elle demandait elle-même le divorce en Suisse. Au regard de ces éléments, il convient d’admettre que l’intimée n’envisageait pas une séparation durable au moment de la convention de mesures protectrices de l’union conjugale du 15 février 2012, et qu’elle espérait encore le retour de son époux au domicile conjugal après une brève période de séparation, le lien conjugal n’étant pas définitivement rompu selon elle. Elle a donc pu renoncer à exiger une contribution d’entretien en estimant pouvoir s’en passer pendant une durée limitée. Ce n’est que par la suite, et notamment au vu de l’ouverture d’une procédure de divorce en Tunisie et de l’échec de l’audience de conciliation du 11 juillet 2012, qu’elle a elle-même admis que cet espoir était vain. Pour ce motif déjà, il est justifié de réexaminer le contenu de la convention de mesures protectrices de l’union conjugale du 15 février 2012. Indépendamment de ce qui précède, le réexamen de la convention de mesures protectrices de l’union conjugale du 15 février 2012 se justifie en raison des coûts supplémentaires auxquels l’intimée doit faire face depuis l’ouverture d’une procédure de divorce en Tunisie. Si l’on fait abstraction de ces coûts, elle se trouve déjà dans une situation financière très tendue, avec un revenu mensuel net moyen de 2’680 fr. par mois, 13 ème salaire compris, pour des charges de l’ordre de 2'600 francs. Dès lors qu’un procès en divorce est ouvert en Tunisie, qui implique nécessairement des déplacements dans ce pays ainsi que des frais d’avocats, cet équilibre financier précaire ne peut pas être maintenu durablement sans contribution d’entretien. Dans ce contexte, la juge de première instance a intégré un montant mensuel supplémentaire de 300 fr. au minimum vital mensuel de l’épouse, correspondant aux prélèvements sur salaire effectués par l’employeur pour obtenir le remboursement de son prêt. A première vue, des coûts de l’ordre de 1'500 fr. par an paraîtraient plus conformes à la réalité. Il n’en reste pas moins qu’au regard de sa situation financière déjà précaire, l’intimée ne peut assumer de tels coûts, pour toute la procédure de divorce à l’étranger, sans contribution d’entretien. Cela étant précisé, le point de savoir si les coûts engendrés par la procédure de divorce à l’étranger sont en réalité plus élevés peut rester ouvert, compte tenu de ce qui suit. Si l’on tient compte d’une charge mensuelle de 125 fr. par mois (ou 1’500 fr par an) en raison de la procédure de divorce à l’étranger, le minimum vital élargi de l’intimée s’élève est de 2'725 fr. par mois. Compte tenu d’un revenu mensuel net moyen de 2680 fr., le découvert est de 45 fr. par mois. Pour sa part, l’appelant dispose d’un revenu mensuel net de 3'717 fr. et doit faire face à des charges de 2'710 fr., selon les montants retenus en première instance. La prise en compte de 400 fr. pour les impôts est correcte au vu du plan de recouvrement établi le 5 novembre 2012 et produit par l’appelant à l’appui de sa requête d’assistance judiciaire. Il faut y ajouter des frais mensuels de l’ordre de 125 fr. par mois pour tenir compte des coûts de la procédure de divorce à l’étranger, auquel il doit faire face au même titre que son épouse, quand bien même il a lui-même choisi d’ouvrir la procédure en Tunisie. Le minimum vital à prendre en considération est donc de 2’835 fr., ce qui laisse à l’époux un excédent de 882 francs. Ensemble, les deux époux réalisent un revenu mensuel net de 6'397 fr., dont il convient de déduire les minimum vitaux cumulés, soit 5'560 francs. Après répartition à parts égales du solde disponible (837 fr., soit 418 fr. 50 par époux), il convient de fixer à 463 fr. la contribution d’entretien due par l’appelant envers son épouse. Ce montant englobe le montant nécessaire pour couvrir le minimum vital de l’épouse et la part de l’épouse au disponible. Il convient de réformer dans ce sens le jugement entrepris, le premier juge ayant omis d’intégrer dans les charges de l’appelant les frais occasionnés par la procédure de divorce à l’étranger. Dans ce contexte, on observera que la prise en considération d’un montant légèrement plus élevé pour les frais de procédure à l’étranger, tant pour l’appelant que pour l’intimée, ne conduirait pas à fixer une contribution d’entretien différente. Au regard du point de départ de la contribution d’entretien au 1 er janvier 2013, l’appelant n’émet aucun argument justifiant d’y revenir. Quoi qu’il en soit, le raisonnement du premier juge doit être suivi, la contribution pécuniaire fondée sur l’art. 176 al. 1 ch. 1 CC pouvant être demandée avec effet rétroactif (ATF 115 II 201 c. 4a, JT 1991 I 537 ; TF 5A_935/2012 du 11 juin 2013 c. 3.2).</w:t>
      </w:r>
    </w:p>
    <w:p>
      <w:r>
        <w:rPr>
          <w:b/>
        </w:rPr>
        <w:t>E. 5</w:t>
      </w:r>
    </w:p>
    <w:p>
      <w:r>
        <w:t>a) En définitive, l’appel n’est que très partiellement admis et l’ordonnance attaquée doit être réformée en ce sens que la contribution d’entretien mise à la charge de l’appelant est fixée à 463 fr. par mois, dès le 1 er janvier 2013. L’admission très partielle de l’appel ne justifie pas de revoir la répartition des frais et dépens en première instance. b) Les frais judiciaires de deuxième instance, arrêtés à 600 fr. (art. 65 al. 2 TFJC [tarif des frais judiciaires civils du 28 septembre 2010, RSV 270.11.5]), doivent être laissés à la charge de l’Etat, vu l’assistance judiciaire accordée à l’appelant, qui succombe presque intégralement (art. 106 al. 2 et. 122 al. 1 let. b CPC), étant précisé que celui-ci est tenu de les rembourser aux conditions de l’art. 123 CPC. c) L’intimée a droit à des dépens d'appel, qui sont fixés d'office (art. 105 CPC) selon le tarif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l’intimée à 2’500 francs. d) Me Alexa Landert, conseil d’office de T.________, a produit sa liste d’opérations, faisant état de onze heures et trente minutes de travail, auxquelles il convient d’ajouter trente-cinq minutes de travail afin de tenir compte des opérations effectuées postérieurement au dépôt de sa liste. Elle annonce en outre un montant de 170 fr. de débours. Compte tenu d’un tarif horaire de 180 fr. (art. 2 al. 1 let. a RAJ [règlement sur l’assistance judiciaire en matière civile du 7 décembre 2010, RSV 211.02.3]), l’indemnité doit être fixée à 2'531 fr. 95, soit 2'348 fr. 35 d’honoraires, TVA comprise, additionné de 183 fr. 60 de débours, TVA comprise. En sa qualité de conseil d’office de L.________, l’avocat Paul-Arthur Treyvaud a produit une liste d’opérations et une liste d’opérations complémentaire faisant état d’un total de onze heures et vingt minutes de travail ainsi que de débours à hauteur de 167 fr. 40. Son indemnité doit dès lors être fixée à 2'383 fr. 35, soit 2'202 fr. 55 d’honoraires, TVA comprise, et 180 fr. 80 de débours, TVA comprise. Me Paul-Arthur Treyvaud aura droit à une indemnité équitable dans l’hypothèse où les dépens qui ont été alloués ne pourraient pas être recouvrés (art. 122 al. 2 CPC et art. 4 RAJ). Par ces motifs, le Juge délégué de la Cour d’appel civile du Tribunal cantonal, prononce : I. L’appel est partiellement admis. II. Le point I du dispositif de l’ordonnance de mesures provisionnelles rendue le 26 août 2013 par la Présidente du Tribunal civil de l’arrondissement de la Broye et du Nord vaudois est réformé en ce sens que T.________ doit contribuer à l’entretien de son épouse L.________ par le régulier versement, d’avance le premier de chaque mois, sur le compte de cette dernière, d’une pension mensuelle de 463 fr. (quatre cent soixante-trois francs), à compter du 1 er janvier 2013. L’ordonnance est confirmée pour le surplus. III. Les frais judiciaires de deuxième instance, arrêtés à 600 fr. (six cents francs) pour l’appelant, sont laissés à la charge de l’Etat. IV. L’indemnité de Me Alexa Landert, conseil d’office de T.________, est arrêtée à 2'531 fr. 95 (deux mille cinq cent trente-et-un francs et nonante-cinq centimes), TVA et débours compris. V. L’indemnité de Me Paul-Arthur Treyvaud, conseil d’office de L.________ est arrêtée à 2'383 fr. 35 (deux mille trois cent huitante-trois francs et trente-cinq centimes), TVA et débours compris. VI. Les bénéficiaires de l’assistance judiciaire sont, dans la mesure de l’art. 123 CPC, tenus au remboursement des frais judiciaires et de l’indemnité de leur conseil d’office mis à la charge de l’Etat. VII. L’appelant T.________ doit verser à l’intimée la somme de 2'500 fr. (deux mille cinq cents francs) à titre de dépens de deuxième instance. VIII. L’arrêt motivé est exécutoire. Le juge délégué : La greffière : Du 16 décembre 2013 Le dispositif de l'arrêt qui précède est communiqué par écrit aux intéressés. La greffière : Du L'arrêt qui précède, dont la rédaction a été approuvée à huis clos, est notifié en expédition complète, par l'envoi de photocopies à : ‑ Me Alexa Landert, avocate (pour T.________), ‑ Me Paul-Arthur Treyvaud, avocat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