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85 vom 22. Januar 2013</w:t>
      </w:r>
    </w:p>
    <w:p>
      <w:r>
        <w:t>VD Tribunal cantonal, 2013-01-22, FR</w:t>
      </w:r>
    </w:p>
    <w:p>
      <w:r>
        <w:rPr>
          <w:b/>
        </w:rPr>
        <w:t xml:space="preserve">Quelle: </w:t>
      </w:r>
      <w:r>
        <w:t>https://mcp.opencaselaw.ch/entscheid/vd_findinfo_HC___2013___85</w:t>
      </w:r>
    </w:p>
    <w:p>
      <w:r>
        <w:t>FR: VD_FINDINFO HC / 2013 / 85 du 22 janvier 2013</w:t>
      </w:r>
    </w:p>
    <w:p>
      <w:r>
        <w:t>IT: VD_FINDINFO HC / 2013 / 85 del 22 gennaio 2013</w:t>
      </w:r>
    </w:p>
    <w:p>
      <w:pPr>
        <w:pStyle w:val="Heading2"/>
      </w:pPr>
      <w:r>
        <w:t>Regeste</w:t>
      </w:r>
    </w:p>
    <w:p>
      <w:r>
        <w:t>OBLIGATION D'ENTRETIEN, MESURE PROVISIONNELLE | 179 al. 1 CC</w:t>
      </w:r>
    </w:p>
    <w:p>
      <w:pPr>
        <w:pStyle w:val="Heading2"/>
      </w:pPr>
      <w:r>
        <w:t>Erwägungen</w:t>
      </w:r>
    </w:p>
    <w:p>
      <w:r>
        <w:rPr>
          <w:b/>
        </w:rPr>
        <w:t>E. 1</w:t>
      </w:r>
    </w:p>
    <w:p>
      <w:r>
        <w:t>L’appel est recevable contre les décisions de première instance sur les mesures provisionnelles (art. 308 al. 1 let. b CPC [Code de procédure civile du 19 décembre 2010; RS 272]).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Des novas peuvent par ailleurs être en principe librement introduits en appel dans les causes régies par la maxime d’office, par exemple sur la situation des enfants mineurs en droit matrimonial (JT 2011 III 43 et les réf.). En l'espèce, dès lors que la cause est soumise à la maxime d’office, car portant sur la situation d'enfants mineurs, la pièce 113 produite par l'appelant en deuxième instance est recevable.</w:t>
      </w:r>
    </w:p>
    <w:p>
      <w:r>
        <w:rPr>
          <w:b/>
        </w:rPr>
        <w:t>E. 3</w:t>
      </w:r>
    </w:p>
    <w:p>
      <w:r>
        <w:t>Seule est litigieuse la contribution d’entretien de l'appelant en faveur de sa famille. a)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et par renvoi de l’art. 276 al. 1 CPC pour les secondes. Aux termes de l’art. 179 al. 1, 1 ère phr. CC, à la requête d'un époux,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w:t>
      </w:r>
    </w:p>
    <w:p>
      <w:r>
        <w:rPr>
          <w:b/>
        </w:rPr>
        <w:t>E. 8</w:t>
      </w:r>
    </w:p>
    <w:p>
      <w:r>
        <w:t>mars 2012 c. 4.1.2 et réf.;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Le moment déterminant pour apprécier si des circonstances nouvelles se sont produites est la date du dépôt de la demande de modification des mesures. C’est donc à ce moment-là qu’il y a lieu de se placer pour déterminer le revenu et son évolution prévisible (TF 5A_218/2012 du 29 juin 2012 c. 3.3.2, in FamPra.ch 2012 p. 1099; ATF 137 III 604 c. 4.1.1). En l’espèce, c’est à bon droit que le premier juge a réexaminé la contribution, au vu des circonstances nouvelles que sont la prise d’emploi de l’intimée et l’attribution de la garde des deux enfants en sa faveur. b) L’appelant ne conteste pas à juste titre pas la méthode de calcul appliquée par le premier juge, soit la méthode du minimum vital avec répartition des excédents, ni la répartition du solde disponible à raison de 60 % en faveur de l’intimée et des enfants et 40 % en sa faveur, qui sont conformes à la jurisprudence (TF 5A_236/2011 du 18 octobre 2011 c. 4.2.5). c) L’appelant soutient que le revenu de l'intimée devrait être fixé entre l’estimation de 3'000 fr. net qu’il a articulée à l’audience du 29 octobre 2012 et celle de 7’200 fr. brut, soit 6'336 fr. net après déduction de 12 % des charges, avancée par son épouse lors de l'audience également, ce qui correspond à un salaire de 4’668 francs. Etant donné que l’intimée n'a pas travaillé depuis 2001, qu’elle vient d’entamer une activité indépendante, dont elle ignore encore le taux d’activité et ne peut qu'en supputer le revenu, l’appréciation du premier juge, qui s’en est tenu à l’estimation de l’appelant, rompu aux affaires, ne prête pas le flanc à la critique, vu la courte période d’activité et son caractère variable. Comme le premier juge l’a lui-même relevé, la situation pourra être revue en fonction de l’évolution effective des revenus de l’intimée. Le moyen est par conséquent infondé. d) L’appelant conteste que les bonus soient pris en compte dans ses revenus. La question ayant déjà été réglée dans l’arrêt du 14 septembre 2012 de la juge déléguée de la Cour de céans (cf. supra, let. C, ch. 4), l'appelant ne fait donc que plaider une seconde fois sa cause, sans établir que la juge déléguée n’aurait pas eu connaissance de faits importants et étant rappelé qu’au vu de la jurisprudence précitée (c. 3a), une partie ne saurait obtenir une modification de la contribution en invoquant une mauvaise appréciation des circonstances initiales, que le motif relève du droit ou de l’établissement des faits allégués sur la base des preuves déjà offertes. Quant à la pièce 113 sur laquelle se fonde l’appelant pour établir son salaire et l’absence de bonus en 2012, elle n’est pas datée ni signée et l’on ignore son auteur, de sorte qu'elle est dépourvue de toute force probante. Le moyen est également infondé. e) En définitive, la contribution d'entretien mensuelle peut être confirmée, à savoir que 60 % du montant disponible de 3'586 fr. 70 de l'appelant (cf. supra, let. C, ch. 7c), soit 2'152 fr., doit être ajouté au manco de 2'848 fr. 80 de l'intimée, ce qui fait un total de 5'000 francs. 4. Il s'ensuit que l'appel doit être rejeté et la décision entreprise confirmée. Il n'y a pas lieu de modifier le sort des frais et dépens de première instance. Les frais judiciaires de deuxième instance sont arrêtés à 800 fr. (art. 65 al. 1 TFJC [tarif des frais judiciaires civils du 28 septembre 2010; RSV 270.11.5]) et mis à la charge de l'appelant, qui succombe (art. 106 al. 1 CPC). N'ayant pas été invitée à se déterminer, l'intimée n’a pas droit à des dépens. Par ces motifs, le juge délégué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 A.C.________. IV. L'arrêt motivé est exécutoire. Le juge délégué : La greffière : Du 24 janvier 2013 Le dispositif de l'arrêt qui précède est communiqué par écrit aux intéressés. La greffière : Du L'arrêt qui précède, dont la rédaction a été approuvée à huis clos, est notifié en expédition complète, par l'envoi de photocopies, à : ‑ Me Jean-Paul Maire (pour A.C.________) ‑ Me Franck-Olivier Karlen (pour B.C.________)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