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837 vom 6. Januar 2014</w:t>
      </w:r>
    </w:p>
    <w:p>
      <w:r>
        <w:t>VD Tribunal cantonal, 2014-01-06, FR</w:t>
      </w:r>
    </w:p>
    <w:p>
      <w:r>
        <w:rPr>
          <w:b/>
        </w:rPr>
        <w:t xml:space="preserve">Quelle: </w:t>
      </w:r>
      <w:r>
        <w:t>https://mcp.opencaselaw.ch/entscheid/vd_findinfo_HC___2013___837</w:t>
      </w:r>
    </w:p>
    <w:p>
      <w:r>
        <w:t>FR: VD_FINDINFO HC / 2013 / 837 du 6 janvier 2014</w:t>
      </w:r>
    </w:p>
    <w:p>
      <w:r>
        <w:t>IT: VD_FINDINFO HC / 2013 / 837 del 6 gennaio 2014</w:t>
      </w:r>
    </w:p>
    <w:p>
      <w:pPr>
        <w:pStyle w:val="Heading2"/>
      </w:pPr>
      <w:r>
        <w:t>Regeste</w:t>
      </w:r>
    </w:p>
    <w:p>
      <w:r>
        <w:t>COMPÉTENCE, COMPÉTENCE RATIONE MATERIAE | 3 al. 2 LJT, 3 al. 3 LJT</w:t>
      </w:r>
    </w:p>
    <w:p>
      <w:pPr>
        <w:pStyle w:val="Heading2"/>
      </w:pPr>
      <w:r>
        <w:t>Erwägungen</w:t>
      </w:r>
    </w:p>
    <w:p>
      <w:r>
        <w:rPr>
          <w:b/>
        </w:rPr>
        <w:t>E. 1</w:t>
      </w:r>
    </w:p>
    <w:p>
      <w:r>
        <w:t>L'appel est recevable contre les décisions finales de première instance (art. 308 al. 1 let. a CPC [Code de procédure civile du 19 décembre 2008, RS 272]), dans les causes patrimoniales dont la valeur litigieuse au dernier état des conclusions est de 10'000 fr. au moins (art. 308 al. 2 CPC). La décision entreprise doit être qualifiée de finale au sens de l'art. 236 CPC, dès lors qu'il s'agit d'une décision d'irrecevabilité. Selon l'art. 311 al. 1 CPC, l'appel, écrit et motivé, doit être introduit auprès de l'instance d'appel soit, en l'occurrence, la Cour d'appel civile (art. 84 al. 1 LOJV [loi d'organisation judiciaire du 12 décembre 1979, RS 173.01]), dans les trente jours à compter de la notification de la décision motivée. En l'espèce, formé en temps utile, par une partie qui y a un intérêt digne de protection (art. 59 al. 2 let. a CPC), dans une cause patrimoniale dont la valeur litigieuse dépasse 10'000 fr., l'appel est recevable formellement.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L'appelant reproche au premier juge d'avoir nié la compétence du tribunal de prud'hommes pour statuer sur sa demande. Il affirme que le fait de lui avoir imparti, par courrier du 17 juin 2013, un délai pour préciser ses conclusions signifiait que le tribunal de prud'hommes s'estimait compétent pour connaître de sa demande. Il expose également qu'une autorité incompétente doit transmettre sans délai l'affaire à l'autorité compétente. Sur le fond, l'appelant estime avoir fait l'objet d'une discrimination à l'embauche, liée à l'aversion de X.________, chef du Service social, pour la personne qui dirigeait le Service d'organisation et d'informatique à l'époque où il y était employé. b) Selon l'art. 3 LJT (loi sur la juridiction du travail du 12 janvier 2010, RSV 173.61), les litiges entre une collectivité publique ou un établissement public et un fonctionnaire nommé ne sont pas soumis aux dispositions de cette loi (al. 2). Sous réserve de dispositions contraires, notamment celles prévues par la loi sur le personnel de l'Etat de Vaud du 12 novembre 2001 (LPers, RSV 172.31), les personnes engagées par contrat d'une collectivité publique ou d'un établissement public peuvent saisir les autorités compétentes en matière de juridiction du travail, conformément aux dispositions de la loi sur la juridiction du travail (al. 3). L'intimée étant une collectivité publique, il convient de qualifier la qualité de l'appelant pour déterminer si la LJT est applicable. Les droits et les obligations du personnel engagé par l'administration de la commune intimée sont régis par le Règlement pour le personnel de l'administration communale du 11 octobre 1977 (RPAC), adopté conformément à l'art. 4 al. 1 ch. 9 LC (loi sur les communes du 28 février 1956, RSV 175.11). Aux termes de l'art. 1 al. 2 RPAC, est fonctionnaire au sens du règlement toute personne nommée en cette qualité par la municipalité pour exercer, à titre principal ou accessoire, une fonction ou un emploi permanent au service de la Commune. L'art. 5 al. 1 RPAC prévoit que peuvent être nommées en qualité de fonctionnaire les personnes majeures qui offrent toutes garanties de moralité et qui possèdent la formation correspondante aux exigences de la fonction. La municipalité peut également engager des employés par contrat écrit de droit privé lorsqu'ils ne remplissent pas les conditions pour être nommés en qualité de fonctionnaire (art. 80 al. 1 RPAC). Dans ce cas, le règlement prévoit que ces employés sont soumis aux dispositions du Code des obligations sur le contrat de travail ainsi qu'aux dispositions de droit public sur le travail (art. 80 al. 2 RPAC). Certains chapitres du règlement énumérés à l'art. 80 al. 3 RPAC leur sont également applicables. c) En l'espèce, l'appelant reproche à la commune intimée d'avoir écarté sa candidature. Dès lors qu'il n'a pas été engagé, il y a lieu, pour savoir si la loi sur la juridiction du travail est applicable, de déterminer quel aurait été son statut – fonctionnaire ou employé par contrat de droit privé – si tel avait été le cas. Les annonces publiées en juillet et septembre 2012 par la commune intimée ne donnent pas d'indications sur le statut du collaborateur recherché pour le poste de chargé d'administration du personnel mis au concours. Il ressort en revanche des dispositions du Règlement pour le personnel de l'administration communale que les personnes qui exercent, à titre principal ou accessoire, une fonction ou un emploi permanent au service de la commune sont en principe nommées en qualité de fonctionnaire. Ce n'est que si elles ne remplissent pas les conditions pour être nommées en cette qualité que la municipalité peut les engager par contrat écrit de droit privé (cf. art. 80 al. 1 RPAC). Comme on l'a vu ci-dessus, peuvent être nommées en qualité de fonctionnaire les personnes majeures qui offrent toutes garanties de moralité et qui possèdent la formation correspondante aux exigences de la fonction (cf. art. 5 al. 1 RPAC). En l'espèce, rien au dossier n'indique que l'appelant – qui était âgé de soixante ans au moment de sa postulation – n'offrait pas les garanties de moralité nécessaires, ni ne possédait la formation utile à la fonction, cela d'autant moins que l'on ignore tout de son parcours professionnel. Partant, c'est à bon droit que le premier juge a considéré que le litige se rapportait à l'engagement d'un fonctionnaire, au sens de l'art. 1 al. 2 RPAC, et qu'il ne relevait pas de la loi sur la juridiction du travail (cf. art. 3 al. 2 LJT). Par ailleurs, on relève que le tribunal qui décline sa compétence – que ce soit à raison du lieu ou de la matière – ne peut transmettre d'office la cause au tribunal ou à l'autorité qu'il tient pour compétent (Bohnet, CPC commenté, Bâle 2011, n. 29 ad art. 63 CPC). C'est dès lors en vain que l'appelant soutient que l'autorité de première instance aurait dû transmettre la cause sans délai à l'autorité compétente. Mal fondé, le moyen de l'appelant doit être rejeté.</w:t>
      </w:r>
    </w:p>
    <w:p>
      <w:r>
        <w:rPr>
          <w:b/>
        </w:rPr>
        <w:t>E. 4</w:t>
      </w:r>
    </w:p>
    <w:p>
      <w:r>
        <w:t>a) En définitive, l'appel doit être rejeté sans autre échange d'écritures conformément à l'art. 312 al. 1 CPC et le prononcé entrepris confirmé. S'agissant d'un litige que l'appelant estimait relever du droit du travail et dont la valeur litigieuse est inférieure à 30'000 fr., l'arrêt sera rendu sans frais judiciaires (art. 114 let. c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