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817 vom 13. Dezember 2013</w:t>
      </w:r>
    </w:p>
    <w:p>
      <w:r>
        <w:t>VD Tribunal cantonal, 2013-12-13, FR</w:t>
      </w:r>
    </w:p>
    <w:p>
      <w:r>
        <w:rPr>
          <w:b/>
        </w:rPr>
        <w:t xml:space="preserve">Quelle: </w:t>
      </w:r>
      <w:r>
        <w:t>https://mcp.opencaselaw.ch/entscheid/vd_findinfo_HC___2013___817</w:t>
      </w:r>
    </w:p>
    <w:p>
      <w:r>
        <w:t>FR: VD_FINDINFO HC / 2013 / 817 du 13 décembre 2013</w:t>
      </w:r>
    </w:p>
    <w:p>
      <w:r>
        <w:t>IT: VD_FINDINFO HC / 2013 / 817 del 13 dicembre 2013</w:t>
      </w:r>
    </w:p>
    <w:p>
      <w:pPr>
        <w:pStyle w:val="Heading2"/>
      </w:pPr>
      <w:r>
        <w:t>Regeste</w:t>
      </w:r>
    </w:p>
    <w:p>
      <w:r>
        <w:t>COMPÉTENCE INTERNATIONALE, CONDITION DE RECEVABILITÉ, QUALITÉ DE PARTIE, QUALITÉ POUR AGIR | 5 ch. 1 CL, 59 al. 2 CPC (CH), 60 CPC (CH)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a) En définitive, l'appel doit être rejeté et le jugement incident confirmé. b) Les frais judiciaires de deuxième instance, arrêtés à 10'000 fr. (art. 6 al. 3 et 62 al. 1 TFJC [tarif des frais judiciaires civils du 28 septembre 2010, RSV 270.11.5]), seront mis à la charge des appelants, qui succombent, solidairement entre eux (art. 106 al. 1 et al. 3 CPC). c) Les appelants verseront à l'intimé, qui obtient gain de cause, la somme de 5'000 fr. à titre de dépens de deuxième instance (art. 7 al. 1 TDC [tarif des dépens en matière civile du 23 novembre 2010,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