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809 vom 18. Dezember 2013</w:t>
      </w:r>
    </w:p>
    <w:p>
      <w:r>
        <w:t>VD Tribunal cantonal, 2013-12-18, FR</w:t>
      </w:r>
    </w:p>
    <w:p>
      <w:r>
        <w:rPr>
          <w:b/>
        </w:rPr>
        <w:t xml:space="preserve">Quelle: </w:t>
      </w:r>
      <w:r>
        <w:t>https://mcp.opencaselaw.ch/entscheid/vd_findinfo_HC___2013___809</w:t>
      </w:r>
    </w:p>
    <w:p>
      <w:r>
        <w:t>FR: VD_FINDINFO HC / 2013 / 809 du 18 décembre 2013</w:t>
      </w:r>
    </w:p>
    <w:p>
      <w:r>
        <w:t>IT: VD_FINDINFO HC / 2013 / 809 del 18 dicembre 2013</w:t>
      </w:r>
    </w:p>
    <w:p>
      <w:pPr>
        <w:pStyle w:val="Heading2"/>
      </w:pPr>
      <w:r>
        <w:t>Regeste</w:t>
      </w:r>
    </w:p>
    <w:p>
      <w:r>
        <w:t>DROIT DE LA FAMILLE, OBLIGATION D'ENTRETIEN, MODIFICATION DES CIRCONSTANCES, ALLOCATION FAMILIALE | 176 al. 1 ch. 1 CC, 179 CC</w:t>
      </w:r>
    </w:p>
    <w:p>
      <w:pPr>
        <w:pStyle w:val="Heading2"/>
      </w:pPr>
      <w:r>
        <w:t>Erwägungen</w:t>
      </w:r>
    </w:p>
    <w:p>
      <w:r>
        <w:rPr>
          <w:b/>
        </w:rPr>
        <w:t>E. 1</w:t>
      </w:r>
    </w:p>
    <w:p>
      <w:r>
        <w:t>L'appel est recevable contre les ordonnances de mesures provisionnelles (art. 308 al. 1 let. b CPC [Code de procédure civile suisse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A partir du moment où il s'agit d'une action du droit de la famille, mais que les enfants sont majeurs, se pose la question du pouvoir d'examen du juge de l'appel. En principe, le litige est régi par la maxime inquisitoire de l'art. 296 CPC (Hohl, Procédure civile, t. II, 2 e éd., nn. 1166 ss et 2414 ss). Pour certains auteurs, il n'y a pas lieu de faire de distinction entre les enfants majeurs et mineurs (Steck, Basler Kommentar, n. 4 ad art. 296 CC; Schweighauser, Sutter-Kommentar,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(CACI 7 juin 2011/113 c. 3). Il n'en reste pas moins que le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l'espèce, l’intimé a produit un lot de 9 pièces réunies sous bordereau. Dès lors que ces pièces sont postérieures à l’audience de mesures provisionnelles et qu’elles concernent la fille mineure du couple, il y a lieu d’admettre leur recevabilité.</w:t>
      </w:r>
    </w:p>
    <w:p>
      <w:r>
        <w:rPr>
          <w:b/>
        </w:rPr>
        <w:t>E. 3</w:t>
      </w:r>
    </w:p>
    <w:p>
      <w:r>
        <w:t>et les références citées ; TF 5A_402/2010 du 10 septembre 2010 c. 4.2.3 et les références citées, in RMA 2010 p. 45). Elles sont cependant retranchées du coût d'entretien de l'enfant (TF 5A_511/2010 du 4 février 2011, c. 3 ; 5A_207/2009 du 21 octobre 2009, c. 3.2; 5A_746/2008 du 9 avril 2009, c. 6.1 et les références citées) et doivent donc être déduites dans le calcul du minimum vital lors de la fixation de la contribution due par le parent non gardien pour l’entretien des siens (TF 5A_511/2010 du 4 février 2011 c. 3; 5A_352/2010 du 29 octobre 2010, c. 6.2.1). Compte tenu de la jurisprudence, c’est à tort que le premier juge a pris en compte les allocations familiales dans le calcul du revenu de l’appelante. Il résulte cependant des pièces au dossier que l’appelante perçoit un 13 ème salaire, de sorte qu’il convient de l’inclure dans le calcul du revenu mensuel net moyen de l’appelante, qui s’élève ainsi à 4'474 fr. ([4'130 x 13] / 12). Il faut également déduire du minimum vital de H.________, le montant de 300 fr. que l’appelante perçoit à titre d’allocations de formation pour son fils. Dans la mesure où l’appelante perçoit toujours les allocations familiales pour sa fille I.________ à hauteur de 200 fr. mensuel, ce montant devra être reversé à A.O.________ qui a la garde de sa fille. Il convient également de déduire du minimum vital d’I.________, le montant de 200 fr. que l’intimé percevra à titre d’allocations familiales pour sa fille.</w:t>
      </w:r>
    </w:p>
    <w:p>
      <w:r>
        <w:rPr>
          <w:b/>
        </w:rPr>
        <w:t>E. 3.1</w:t>
      </w:r>
    </w:p>
    <w:p>
      <w:r>
        <w:t>En substance, l'appelante fait grief au premier juge d'avoir tenu compte d’éléments non pertinents dans le cadre du calcul de la modification de la contribution d’entretien.</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Pour fixer la contribution d'entretien due au conjoint à titre de mesures provisionnelles pour la durée de la procédure de divorce selon l'art. 176 al. 1 ch. 1 CC, auquel l'art. 276 CPC renvoie par analogie (Tappy, CPC Commenté, Bâle 2011, n. 6 ad art. 276 CPC),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 ATF 137 III 604 c. 4.1.1).</w:t>
      </w:r>
    </w:p>
    <w:p>
      <w:r>
        <w:rPr>
          <w:b/>
        </w:rPr>
        <w:t>E. 3.3</w:t>
      </w:r>
    </w:p>
    <w:p>
      <w:r>
        <w:t>a) L’appelante fait tout d’abord valoir que le montant des charges de l’intimé retenu par le premier juge comprend la somme de 150 fr. pour l’exercice d’un droit de visite. Dès lors que l’intimé n’exerce plus de droit de visite sur sa fille I.________ puisque la garde de celle-ci lui a été confiée, l’appelante soutient que ce montant de 150 fr. aurait dû être déduit des charges de l’intimé. Il résulte du dossier que le premier juge a pris en compte les charges retenues par la Juge déléguée de la Cour d’appel civile dans son arrêt du 9 août 2012, à savoir la somme de 3'880 francs, à laquelle il a ajouté les frais relatifs à I.________ dès lors que la garde de celle-ci avait été confiée à l’intimé. La somme de 3'880 fr. englobe effectivement 150 fr. pour l’exercice du droit de visite de l’intimé, dès lors qu’en août 2012, il bénéficiait d’un droit de visite sur sa fille puisque la garde de celle-ci était alors confiée à l’appelante. Dès lors qu’il dispose désormais de la garde de sa fille, le premier juge aurait dû retrancher la somme de 150 fr. des charges de l’intimé. Toutefois, il convient d’ajouter un montant de 150 fr. dans les charges de l’intimé dans la mesure où il résulte des lignes directrices pour le calcul du minimum vital du droit des poursuites que le montant de base mensuel pour un débiteur monoparental est de 1'350 fr. et non de 1'200 fr. tel que retenu par le premier juge. Il s’ensuit que le moyen de l’appelante s’avère sans portée. b) L’appelante soutient également que c’est à tort que le premier juge n’a pas ajouté à ses charges le montant de 150 fr. relatif à l’exercice de son droit de visite sur sa fille I.________. Il résulte de l’instruction que les relations entre l’appelante et sa fille I.________ sont tendues. Toutefois, un libre et large droit de visite sur sa fille a été octroyé à l’appelante par le premier juge. Dès lors, il se justifie de tenir compte dans les charges de l’appelante du montant de 150 fr. relatif à l’exercice du droit de visite sur sa fille I.________, même si on ignore quelle sera la fréquence de cet exercice. Il ne devrait en tous les cas pas être inexistant, même si la situation mère-fille est quelque peu conflictuelle, étant relevé que les parties ont été expressément invitées par le premier juge à entreprendre les efforts nécessaires en vue d’améliorer cette relation. c) L’appelante reproche par ailleurs au premier juge d’avoir retenu dans les charges de l’intimé le montant de 278 fr. 65 relatif à des cours d’appui d’allemand pour I.________, alors que ces cours auraient pris fin. L’intimé admet le fait qu’I.________ ne suit plus de cours d’allemand, mais fait valoir que certaines charges afférentes à sa fille (activité sportive, frais de transport, frais de repas, frais médicaux) n’ont pas été prises en compte dans le calcul de ses charges et que le montant total des charges non prises en compte dépasserait le coût des cours d’allemand. Il résulte de l’instruction que le premier juge a pris en compte des frais de repas pour I.________ mais non pas les autres frais allégués par l’intimé. Celui-ci a produit des pièces nouvelles qui attestent des frais médicaux d’I.________ et de ses frais de transport. Le prix de l’abonnement de transport public s’élève à 461 fr., de sorte que c’est un montant arrondi de 40 fr. qui peut être retenu à ce titre. S’agissant des frais médicaux, le montant de 70 fr. allégué par l’intimé paraît adéquat compte tenu des traitements particuliers qu’elle suit pour des problèmes de mâchoire, de stress et d’acné, qui ne sont couverts par l’assurance-maladie que moyennant exclusion d’une quote-part. Aucune pièce n’a été produite pour attester des frais de repas et des frais d’activité sportive d’I.________. Il convient donc de s’en tenir au montant de 96 fr. retenu par le premier juge au titre des frais de repas et de ne pas tenir compte des frais d’activité sportive, lesquels sont au demeurant inclus dans le minimum vital d’I.________. Les charges de l’intimé doivent donc être diminuées de 278 fr. 65 (cours d’allemand) et augmentées d’un montant de 40 fr. pour les frais de transport d’I.________ ainsi que d’un montant de 70 fr. à titre de participation aux frais médicaux de celle-ci. d) Dans un dernier moyen, l’appelante critique le calcul du premier juge concernant son revenu en faisant valoir que les allocations familiales pour ses deux enfants sont incluses dans les chiffres retenus par le magistrat. Elle conclut donc à ce qu’un montant de 500 fr. soit retranché de ses revenus pour les mois de janvier à avril 2013, de sorte que son revenu mensuel net moyen s’élèverait à 4'130 fr. en lieu et place des 4'630 fr. retenus en première instance. 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w:t>
      </w:r>
    </w:p>
    <w:p>
      <w:r>
        <w:rPr>
          <w:b/>
        </w:rPr>
        <w:t>E. 3.4</w:t>
      </w:r>
    </w:p>
    <w:p>
      <w:r>
        <w:t>Au vu de ce qui précède, le calcul du disponible de l’appelante se présente comme suit : - salaire 4'474 fr. - participation de H.________ aux frais du ménage 280 fr. - location d’un studio 980 fr. Total revenus 5'734 fr. - minimum vital 1'350 fr. - minimum vital H.________ 300 fr. (600 - 300) - droit de visite I.________ 150 fr. - assurance maladie intimée 357 fr. 40 - assurance maladie H.________ 73 fr. 50 - charges PPE 530 fr. 80 - intérêts hypothécaires 1'187 fr. 90 - frais d’écolage H.________ 38 fr. - frais de vêtements professionnels H.________ 35 fr. 30 - frais de déplacement H.________ 65 fr. 65 - frais de repas H.________ 80 fr. Total arrondi charges : 4'168 fr. Le solde positif mensuel de l’appelante s’élève ainsi à 1’566 fr. (5’734 - 4'168). Le calcul du disponible de l’intimé se présente comme suit : - salaire 7'882 fr. - minimum vital intimé 1'350 fr. - minimum vital I.________ 400 fr. (600 - 200) - loyer 2'130 fr. - assurance maladie intimé 400 fr. - assurance maladie I.________ 73 fr. 50 - frais de repas I.________ 96 fr. - frais de transport I.________ 40 fr. - frais médicaux I.________ 70 fr. Total arrondi charges : 4'559 fr. Le solde positif mensuel de l’intimé s’élève ainsi à 3’323 fr. (7'882 - 4'559). Après adjonction puis partage par moitié des deux montants disponibles respectifs ([1’566 + 3’323] / 2 = 2'444.50) on aboutit à une pension arrondie à 880 fr. (2'444.50 - 1’566) que l’intimé devra verser pour l’entretien de son épouse et de son fils H.________.</w:t>
      </w:r>
    </w:p>
    <w:p>
      <w:r>
        <w:rPr>
          <w:b/>
        </w:rPr>
        <w:t>E. 4</w:t>
      </w:r>
    </w:p>
    <w:p>
      <w:r>
        <w:t>En définitive, l’appel doit être partiellement admis et l’ordonnance entreprise réformée en ce sens que l’intimé contribuera à l’entretien de son épouse et de son fils H.________ par le régulier versement d’une pension de 880 fr., payable d’avance le premier de chaque mois en mains de l’appelante. Celle-ci devra restituer à l’intimé le montant de 200 fr. qu’elle perçoit à titre d’allocations familiales pour sa fille I.________. Lorsqu'aucune des parties n'obtient entièrement gain de cause, les frais sont répartis selon le sort de la cause (art. 106 al. 2 CPC). Tel est le cas en espèce, dès lors que l’appelante n’a obtenu qu’une partie de l’augmentation du montant de la contribution d’entretien en sa faveur. Les frais judiciaires de deuxième instance, arrêtés à 600 fr. (art. 65 al. 2 TFJC [tarif des frais judiciaires civils du 28 septembre 2010 ; RSV 270.11.5]), sont mis à la charge de l'appelante par 300 fr. et à la charge de l'intimé par 300 francs. Cela étant, l'intimé devra verser à l'appelante le montant de 300 fr. à titre de restitution d'avance de frais. Pour le surplus, il y a lieu de compenser les dépens de deuxième instance. Par ces motifs, le juge délégué de la Cour d’appel civile du Tribunal cantonal, statuant à huis clos, prononce : I. L’appel est partiellement admis. II. L’ordonnance de mesures provisionnelles du 20 août 2013 est réformée comme suit au chiffre III de son dispositif et par l’adjonction d’un chiffre III bis nouveau: III. dit que A.O.________ contribuera à l’entretien de son épouse et de son fils H.________, dès et y compris le 1 er septembre 2013 par le régulier versement d’une pension de 880 fr. (huit cent huitante francs), payable d’avance le premier de chaque mois en mains de B.O.________. III. bis nouveau :              dit que B.O.________ versera à A.O.________ les allocations familiales qu’elle perçoit de son employeur pour I.________, à hauteur de 200 fr. mensuel. L’ordonnance est maintenue pour le surplus. III. Les frais judiciaires de deuxième instance, arrêtés à 600 fr. (six cents francs), sont mis à la charge de l’appelante par 300 fr. (trois cents francs) et de l’intimé par 300 fr. (trois cents francs). IV. L’appelante B.O.________ doit verser à l’intimé A.O.________ la somme de 300 fr. à titre de restitution d’avance de frais de deuxième instance, les dépens de deuxième instance étant compensés. V. L’arrêt est exécutoire. Le juge délégué : Le greffier : Du L'arrêt qui précède, dont la rédaction a été approuvée à huis clos, est notifié à : ‑ Me Dominique Hahn (pour B.O.________), ‑ Me Anne-Marie Germanier Jaquinet (pour A.O.________).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