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805 vom 10. Dezember 2013</w:t>
      </w:r>
    </w:p>
    <w:p>
      <w:r>
        <w:t>VD Tribunal cantonal, 2013-12-10, FR</w:t>
      </w:r>
    </w:p>
    <w:p>
      <w:r>
        <w:rPr>
          <w:b/>
        </w:rPr>
        <w:t xml:space="preserve">Quelle: </w:t>
      </w:r>
      <w:r>
        <w:t>https://mcp.opencaselaw.ch/entscheid/vd_findinfo_HC___2013___805</w:t>
      </w:r>
    </w:p>
    <w:p>
      <w:r>
        <w:t>FR: VD_FINDINFO HC / 2013 / 805 du 10 décembre 2013</w:t>
      </w:r>
    </w:p>
    <w:p>
      <w:r>
        <w:t>IT: VD_FINDINFO HC / 2013 / 805 del 10 dicembre 2013</w:t>
      </w:r>
    </w:p>
    <w:p>
      <w:pPr>
        <w:pStyle w:val="Heading2"/>
      </w:pPr>
      <w:r>
        <w:t>Regeste</w:t>
      </w:r>
    </w:p>
    <w:p>
      <w:r>
        <w:t>BAIL À LOYER, RÉSILIATION ANTICIPÉE | 257d CC, 257 CPC (CH)</w:t>
      </w:r>
    </w:p>
    <w:p>
      <w:pPr>
        <w:pStyle w:val="Heading2"/>
      </w:pPr>
      <w:r>
        <w:t>Erwägungen</w:t>
      </w:r>
    </w:p>
    <w:p>
      <w:r>
        <w:rPr>
          <w:b/>
        </w:rPr>
        <w:t>E. 1</w:t>
      </w:r>
    </w:p>
    <w:p>
      <w:r>
        <w:t>a)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117 c. la; ATF 119 II 147 c. 1). En l’espèce, le loyer mensuel net de l’appartement s’élève à 1’350 fr, plus 150 fr. de charges, de sorte que la valeur litigieuse est supérieure à 10’000 francs. La voie de l’appel est ainsi ouverte (art. 308 al. 2 CPC).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18 octobre 2013, alors que l’ordonnance attaquée avait été notifiée à l’appelant le 11 octobre 2013, l’appel a été déposé en temps utile, par une partie qui y a par ailleurs intérêt (art. 59 al. 2 let. a CPC), de sorte qu’il est recevable.</w:t>
      </w:r>
    </w:p>
    <w:p>
      <w:r>
        <w:rPr>
          <w:b/>
        </w:rPr>
        <w:t>E. 2</w:t>
      </w:r>
    </w:p>
    <w:p>
      <w:r>
        <w:t>L’appel est une voie de droit offrant à l’autorité de deuxième instance un plein pouvoir d’examen (Jeandin, in Bohnet et al., Code de procédure civile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3</w:t>
      </w:r>
    </w:p>
    <w:p>
      <w:r>
        <w:t>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Selon la jurisprudence,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3a ad art. 257d CO, p. 126; CACI 22 janvier 2013/46). c) En l’espèce, la situation est confuse en raison des déclarations contradictoires des parties au sujet des loyers versés et encaissés. En effet, les bailleurs ont d’abord résilié le bail le 16 janvier 2013 au motif que seuls deux acomptes de 750 fr. avaient été versés, pour ensuite affirmer dans le nouvel avis de résiliation du 28 mai 2013 que le loyer de novembre 2012 avait été payé par 1’500 fr. et que le loyer de décembre 2012 n’avait été que partiellement payé par un acompte de 750 francs. Quant au CSI, il a donné des indications contraires aux locataires et aux bailleurs. Dans leur correspondance du 31 janvier 2013, le locataire et sa compagne ont finalement prétendu qu’ils avaient payé un acompte de 750 fr. en trop. Il ressort néanmoins des pièces au dossier que le CSI a versé le loyer du mois de novembre par 1’500 fr. le 18 décembre 2012, soit dans le délai comminatoire, en indiquant expressément que ce montant devait être affecté au paiement du loyer de novembre. Il a en outre versé un acompte de 750 fr. le même jour, indiquant qu’il fallait considérer que le montant versé correspondait au loyer de décembre. Ainsi, c’est bien un manco de 750 fr. qui apparaît. On ne comprend dès lors pas pour quelle raison la résiliation du 16 janvier 2013 retenait que seuls deux acomptes de 750 fr. avaient été versés. Ensuite, les bailleurs savaient que l’appartement était occupé par le détenteur du bail W.________ et par sa compagne. Ces derniers les ont informés le 27 novembre 2012 qu’ils avaient du retard dans le versement du loyer de novembre et ils leur ont confirmé qu’ils avaient besoin d’une copie du bail pour que le CSI finance leurs loyers. Celui-ci a alors versé aux bailleurs trois fois 750 fr. le 13 décembre 2012 représentant selon le CSI la moitié du loyer de G.________ des mois de septembre, octobre et novembre 2012 pour l’appartement en question. Les bailleurs ont toutefois refusé immédiatement ces versements au motif que le bail avait été conclu par W.________ seul, alors qu’ils savaient que son amie occupait également l’appartement et que les services sociaux allaient intervenir en sa faveur pour les mois de novembre et décembre. Ils ont ainsi refusé pendant le délai comminatoire de percevoir des montants versés par la compagne du locataire. En outre, il ne ressort d’aucune pièce du dossier qu’il y avait un arriéré de loyer pour les mois d’août à octobre 2012 et les bailleurs ne l’ont pas fait valoir. Le locataire et son amie affirment d’ailleurs dans leur lettre du 27 novembre 2012 qu’en presque six ans, le paiement du loyer n’a été manqué qu’à une seule reprise et rattrapé le mois suivant. Ainsi, compte tenu de l’absence de décomptes de loyers, des déclarations contradictoires tant du locataire et de sa compagne que des bailleurs et du refus des bailleurs d’encaisser 2’250 fr. pendant le délai comminatoire, il apparaît qu’il ne s’agit pas d’un cas clair.</w:t>
      </w:r>
    </w:p>
    <w:p>
      <w:r>
        <w:rPr>
          <w:b/>
        </w:rPr>
        <w:t>E. 4</w:t>
      </w:r>
    </w:p>
    <w:p>
      <w:r>
        <w:t>a) Dès lors que les moyens de l’appelant sont fondés, la requête d’expulsion doit être déclarée irrecevable. En effet, le bailleur ayant agi selon la procédure de cas clair (art. 257 CPC), sa requête ne peut pas être déclarée mal fondée : c’est le demandeur qui requiert la protection par la voie sommaire ; si cette voie n’est pas applicable, il n’est pas entré en matière sur la requête ; la simple conclusion en rejet par le défendeur ne permet pas un prononcé de mal fondé (cf. Bohnet, CPC Commenté, Bâle 2011, n. 24 ad art. 257 CPC ; JT 2011 III 146 c. 5b/bb). b) Vu l’issue du litige, les frais judiciaires de première instance, arrêtés à 240 fr., et de deuxième instance, arrêtés à 100 fr., sont mis à la charge des intimés qui succombent (art. 106 al. 1 CPC ; art. 62 al. 3, 69 al. 1 et 70 al. 4 TFJC). c) Les intimés verseront à l’appelant des dépens de première instance, fixés à 1'000 fr., TVA et débours compris (art. 106 al. 1 CPC). L’indemnité d’office de Me Mérinat demeure toutefois valable pour le cas où elle ne pourrait obtenir le paiement des dépens qui lui ont été alloués (art. 122 al. 2 CPC). L’appelant n’a pas requis l’assistance judiciaire en appel. Les intimés lui verseront des dépens de deuxième instance, fixés à 1'300 francs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