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795 vom 23. Dezember 2013</w:t>
      </w:r>
    </w:p>
    <w:p>
      <w:r>
        <w:t>VD Tribunal cantonal, 2013-12-23, FR</w:t>
      </w:r>
    </w:p>
    <w:p>
      <w:r>
        <w:rPr>
          <w:b/>
        </w:rPr>
        <w:t xml:space="preserve">Quelle: </w:t>
      </w:r>
      <w:r>
        <w:t>https://mcp.opencaselaw.ch/entscheid/vd_findinfo_HC___2013___795</w:t>
      </w:r>
    </w:p>
    <w:p>
      <w:r>
        <w:t>FR: VD_FINDINFO HC / 2013 / 795 du 23 décembre 2013</w:t>
      </w:r>
    </w:p>
    <w:p>
      <w:r>
        <w:t>IT: VD_FINDINFO HC / 2013 / 795 del 23 dicembre 2013</w:t>
      </w:r>
    </w:p>
    <w:p>
      <w:pPr>
        <w:pStyle w:val="Heading2"/>
      </w:pPr>
      <w:r>
        <w:t>Regeste</w:t>
      </w:r>
    </w:p>
    <w:p>
      <w:r>
        <w:t>MESURE PROVISIONNELLE, OBLIGATION D'ENTRETIEN, ENFANT, MAJORITÉ{ÂGE} | 176 al. 1 ch. 1 CC, 308 al. 1 let. b CPC (CH)</w:t>
      </w:r>
    </w:p>
    <w:p>
      <w:pPr>
        <w:pStyle w:val="Heading2"/>
      </w:pPr>
      <w:r>
        <w:t>Erwägungen</w:t>
      </w:r>
    </w:p>
    <w:p>
      <w:r>
        <w:rPr>
          <w:b/>
        </w:rPr>
        <w:t>E. 1</w:t>
      </w:r>
    </w:p>
    <w:p>
      <w:r>
        <w:t>a) L'art. 308 al. 1 let. b CPC (Code de procédure civile du 19 décembre 2008; RS 272) ouvre la voie de l'appel contre les ordonnances de mesures provisionnelles rendues dans les causes patrimoniales dont la valeur litigieuse est supérieure à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b) En l'espèce, il ressort de l'avis "track and trace" de la Poste que la décision rendue le 31 juillet 2013 a été notifiée au conseil de A.N.________ le 5 août suivant. Le délai d’appel a ainsi commencé à courir le 6 août 2013. Déposé le 14 août, l'appel a été interjeté en temps utile par une partie qui y a intérêt (art. 59 al. 2 let. a CPC) et porte sur des conclusions qui, capitalisées selon l'art. 92 al. 2 CPC, sont supérieures à 10'000 francs. Le présent appel est donc formellement recevable. c) La question se pose de savoir si la conclusion subsidiaire, qui concerne l'octroi à l'intimée seule d'une pension alimentaire, est recevable, dès lors qu'elle n'a pas été chiffrée. La question peut toutefois demeurer indécise, au vue de l'issue de l'appel.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Ces exigences s'appliquent aux litiges soumis à la maxime inquisitoire (ATF 138 III 625 c. 2.2), le cas où le premier juge a violé cette maxime en omettant de faire porter l’instruction sur un point pertinent demeurant réservé, mais pas aux litiges relevant de la maxime d’office (JT 2011 III 43). En l'espèce, le litige porte sur la contribution alimentaire due à l'épouse et à l'enfant majeur. La maxime inquisitoire illimitée ne s'applique dès lors pas. L'appelant n'a toutefois pas produit de pièces nouvelles en appel. Il convient dès lors de se fonder uniquement sur les faits tels qu’ils résultent de l’ordonnance attaquée. En particulier, il n’y a pas lieu de tenir compte de la pièce n° 107 qui n’a pas été invoquée par l’appelant dans le cadre de la procédure provisionnelle, mais qui n’a été alléguée que dans le cadre de la réplique dans la procédure au fond (cf. art. 317 al. 1 CPC). 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En l'occurrence, procédant à une appréciation anticipée des preuves, la juge de céans a considéré que les réquisitions de l'appelant visant à être entendu personnellement et à voir produire différentes pièces n'étaient pas de nature à apporter des éléments essentiels pour le jugement de la présente cause, qui plus est au stade des mesures provisionnelles.</w:t>
      </w:r>
    </w:p>
    <w:p>
      <w:r>
        <w:rPr>
          <w:b/>
        </w:rPr>
        <w:t>E. 2.3</w:t>
      </w:r>
    </w:p>
    <w:p>
      <w:r>
        <w:t>et la jurisprudence citée; SJ 2006 I 538; Perrin, Commentaire romand, 2010, n. 21 ad. art. 285 CC, p. 1777) . Cette jurisprudence vaut également en matière de mesures provisionnelles (ATF 132 III 209 c. 2.3) et de mesures protectrices (TF 5P. 384/2002 du 17 décembre 2002 c. 2.1. ; Juge délégué CACI 29 janvier 2013/61; Juge délégué CACI 8 novembre 2011/346). b) L’appelant fait valoir qu’il y a lieu d’imputer à l’intimée un revenu hypothétique. Lorsque le juge fixe la contribution d'entretien d'un conjoint à l'autre, il doit partir de la convention, expresse ou tacite, que les époux ont conclue au sujet de la répartition des tâches et des ressources entre eux (art. 163 al. 2 CC), l'art. 163 CC demeurant en effet la cause de l'obligation d'entretien réciproque des époux (ATF 130 III 537 c. 3.2).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 4b/aa; TF 5A_710/2009 c. 4.1).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c. 3, précisant l'ATF 128 III 65).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qu'il investisse d'une autre manière sa force de travail ainsi libérée et reprenne ou étende son activité lucrative, de la même manière qu'on aurait pu l'exiger de lui dans le cadre de la procédure au fond. Cette exigence repose toutefois précisément sur l'art. 163 al. 1 CC et non sur l'art. 125 CC, dès lors qu'il s'agit pour l'épouse de participer, selon ses facultés, à l'augmentation des charges inhérentes à la tenue de deux ménages distincts et par là même de contribuer à l'entretien convenable de la famille.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Le principe du clean break ne joue par conséquent aucun rôle dans le cadre des mesures provisionnelles (ATF 137 III 385 c. 3.1; TF 5A_228/2012 du 11 juin 2012 c. 4.2 et 4.3). Les critères permettant de déterminer le montant du revenu hypothétique sont, en particulier, la qualification professionnelle, l'âge, l'état de santé et la situation du marché du travail.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137 III 102 c. 4.2.2.2). En l'espèce, selon un certificat médical établi le 3 mai 2013 par la doctoresse [...], B.N.________ est suivie à son cabinet depuis le mois de mars 2006. Elle présente des problèmes physiques mais souffre surtout de dépression et de stress post-traumatique. Sa capacité de travail est de 30%. Il n'y a donc pas lieu de retenir un revenu hypothétique à la charge de l’épouse. En effet, âgée de 51 ans, l'intimée souffre depuis sept ans d’un état psychique fragile (dépression et stress post-traumatique) avec une capacité de travail résiduelle limitée à 30%. En l'état, on ne peut dès lors lui imputer un revenu hypothétique correspondant à une capacité de travail allant au-delà de ce taux, ce d’autant que l’intimée ne bénéficie pas d’une formation spécifique ni de connaissances suffisantes de la langue française, l’intervention d’un interprète ayant du reste été nécessaire en première instance. Compte tenu de l’ensemble de ces éléments, on ne voit pas que l'intimée puisse réaliser un revenu supérieur à celui qu’elle perçoit actuellement. Par ailleurs, une incapacité de travail durable, telle qu’attestée en l’espèce par le médecin traitant, peut être prise en compte indépendamment d’éventuels droits envers l’assurance invalidité (Bastons Bulletti, L’entretien après divorce : méthodes de calcul, montant, durée et limites, in SJ 2007 II 77, p. 97 et les références) et le fait que l'intéressée n'a pas adressé de demande de rente ne saurait à lui seul être déterminant (CACI 11 septembre 2013/469 c. 3c/cc). c) L’appelant fait valoir que les revenus de l’intimée sont supérieurs à ceux retenus par le premier juge, dès lors qu'elle percevrait des montants de [...]. Il se réfère à la pièce 107, qui est toutefois irrecevable à ce stade (voir c. 2b ci-dessus). Au demeurant, à supposer recevable, l’appelant ne rend pas vraisemblable qu’il s’agirait d’un revenu supplémentaire régulier. En effet, les deux versements effectués en 2013 dont il fait état ne suffisent pas pour justifier une modification essentielle et durable des revenus de l’intimée par rapport à l’année 2012, compte tenu de ses charges et de son découvert, le premier juge s’étant fondé, pour les deux époux, sur les revenus de l’année 2012. d) L'appelant estime que l'intégralité du revenu de l'enfant majeur doit être prise en considération afin de déterminer son entretien par les père et mère, alors que le premier juge a additionné aux revenus de l'intimée un montant de 150 fr. seulement à titre de participation aux frais communs. On peut déduire du minimum vital du crédirentier la participation d'un enfant majeur vivant avec lui. Une participation équitable doit être estimée compte tenu de ses possibilités financières (Bastons Bulletti, op. cit., p. 88). Le Tribunal fédéral a considéré qu'aucune participation au loyer ne doit être retenue si l'enfant majeur doit s'entretenir seul avec un salaire de 1'000 fr. (TF 5C.45/2006 du 15 mars 2006, c. 3.6 ; Bastons Bulletti, op. cit., p. 88 note infrapaginale p. 64). En l’espèce, C.N.________, qui a eu 18 ans révolus en mai 2013, perçoit 550 francs par mois compte tenu du fait qu'il se trouve dans sa deuxième année d'apprentissage. Un tel montant ne saurait être retenu à titre de participation dans le cadre du calcul du minimum vital de sa mère, avec laquelle il vit. C'est également à tort que le premier juge a ajouté à la base mensuelle de la mère une base mensuelle pour enfant de 600 fr. concernant C.N.________. La pension en faveur de l'enfant majeur doit en effet être dissociée de celle versée au crédirentier (ATF 132 III 483 c. 4 ; ATF 129 III 55 c. 3 ; TF 5A_41/2008 du 13 novembre 2008 c. 6). e) L’appelant invoque le principe de l’égalité entre époux s’agissant du train de vie et revendique à ce titre un loyer supérieur à 1'000 fr. tel que retenu par le premier juge, soit un loyer de l’ordre de 1'500 fr. à 1'800 fr. par mois, dès lors que l’épouse continuerait à occuper un appartement subventionné de trois pièces, dont la taille et le confort seraient supérieurs au sien. La capacité contributive du parent débirentier doit être appréciée en fonction de ses charges effectives: seuls les montants réellement acquittés peuvent être pris en compte. Il y a ainsi lieu de tenir compte des frais de logement effectifs et raisonnables (Bastons Bulletti, op. cit., p. 85). Selon la jurisprudence, il est arbitraire de retenir un loyer supérieur au loyer effectif, au motif qu’il serait adéquat pour tenir compte du confort dont jouissait le conjoint durant le mariage (TF 5A_287/2012 du 14 août 2012 c. 3.2.4). En l’espèce, il est admissible de retenir des frais de logement de 1'000 francs pour une personne seule, comme l'a fait le premier juge. En revanche, la charge supérieure invoquée par l'appelant est disproportionnée par rapport à la situation économique (Juge délégué CACI 16 octobre 2012/481). Elle n'est au demeurant pas effective. Il n’y a enfin pas lieu de retenir une violation du principe de l’égalité de traitement, la situation des parties étant comparable, dès lors que la mère partage son logement de trois pièces avec un enfant en formation aux revenus limités. f) Les charges incompressibles de l'appelant comprennent en définitive la base mensuelle de 1'200 fr., le loyer, les frais d'assurance-maladie obligatoire et de déplacement, soit un montant total de 2'765 francs. Dès lors que l'enfant du couple est majeur, il n'y a plus lieu de tenir compte des frais liés à l'exercice du droit de visite, par 150 francs. Par ailleurs, il n’y a pas obligation de prendre en compte la franchise mensuelle de 50 fr. dont l'appelant doit s’acquitter en remboursement de l’assistance judiciaire qui lui a été concédée, sa situation financière étant serrée (CACI 26 mars 2013/176 c. 3.3.4; CACI 9 septembre 2011/238). Au vu du revenu mensuel de l'appelant, par 4'250 fr. (impôt à la source déduit) et de ses charges incompressibles, le disponible s'élève à 1'485 fr. si on ne prend pas en compte la franchise de l'assistance judiciaire, à 1'435 fr. dans le cas contraire. g) Le revenu mensuel de l'intimée, impôt à la source déduit, est arrêté à 900 fr., aucune participation du fils majeur ne devant être ajoutée à ce montant au vu de ce qui précède. Contrairement à ce que prétend l'appelant, il n'y a en outre pas lieu de tenir compte, dans les revenus de l'intimée, de l'aide que celle-ci perçoit de l'assistance publique (loyer et assurance maladie subventionnées, revenu d'insertion). L'aide sociale est en effet subsidiaire par rapport aux obligations d'entretien du droit de la famille (TF 5A_158/2010 du 25 mars 2010 c. 3.2; TF 5A_170/2007 du 27 juin 2007 c. 4). Le caractère subsidiaire serait du reste également valable pour d'éventuelles prestations complémentaires en matière d'assurance-invalidité (TF 5A_724/2009 du 26 avril 2010 c. 6.2; Bastons Bulletti, op. cit., p. 98 et la référence). Les charges incompressibles de l'intimée, sans compter les charges de l'enfant majeur, se composent ainsi de la base mensuelle pour une personne seule, du loyer et de l'assurance-maladie, par 2'292 fr. 95 (1'200 fr. + 1'058 fr. + 34 fr. 95) et le découvert s'élève dès lors à 1’392 fr. 95. h) Ainsi, en admettant que l'appelant a un disponible de 1'435 fr. (en considérant les frais d'assistance judiciaire), il peut acquitter en faveur de son épouse une pension de 1'200 fr. sans que son minimum vital ne soit atteint, un montant de 235 fr. demeurant à sa disposition et les impôts étant prélevés à la source (cf. TF 5A_673/2011 du 11 avril 2012 c. 2.3.2 ; une majoration de 20% sur le montant de base ne s’impose plus en droit actuel). Au vu de ce qui précède, et compte tenu des conclusions des parties, il y a lieu de confirmer le montant de la pension alimentaire telle que retenue par le premier juge, mais en faveur de l’épouse seulement, à l’exclusion de son fils majeur C.N.________, l’obligation d’entretien du conjoint l’emportant sur celle de l’enfant majeur (cf. c. 3a). A noter que C.N.________ est devenu majeur le 1 er mai 2013, de sorte que la suppression de la contribution le concernant ne vaut que dès cette date.</w:t>
      </w:r>
    </w:p>
    <w:p>
      <w:r>
        <w:rPr>
          <w:b/>
        </w:rPr>
        <w:t>E. 3</w:t>
      </w:r>
    </w:p>
    <w:p>
      <w:r>
        <w:t>L’appelant fait valoir que le montant de la contribution d’entretien, alloué en faveur de l'épouse et de l’enfant majeur, violerait le droit fédéral dès lors qu’il ne tiendrait pas compte du minimum vital du débirentier élargi de 20%. Il conteste en outre différents éléments concernant les revenus et charges des parties et de leur enfant majeur, qu'il convient d'examiner séparément. a)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 TF 5A_453/2009 du 9 novembre 2009, c. 5.2 ), la fixation de la contribution d'entretien ne devant pas anticiper sur la liquidation du régime matrimonial. Dans les cas où les parties ne sont pas dans une situation financière favorable, le juge peut appliquer la méthode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RS 281.1]), élargi des dépenses incompressibles, enfin à répartir le solde disponible de manière égale entre eux (TF 5P.504/2006 du 22 février 2007, c. 2.2.1 ; TF 5C.180/2002 du 20 décembre 2002, c. 5.2.2, in FamPra.ch 2003 p. 428 ss, 430 et les citations). Dans les charges incompressibles des époux, il y a lieu de prendre en compte notamment le montant de base mensuel fixé dans les lignes directrices pour le calcul du minimum vital, montant qui est actuellement fixé à 1'200 fr. pour un débiteur vivant seul,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L’obligation d’entretien du conjoint l’emporte en outre sur celle de l’enfant majeur. Le Tribunal fédéral a posé le principe qu'on ne peut exiger d'un parent qu'il subvienne à l'entretien de son enfant majeur que si, après versement de cette contribution, il dispose encore d'un revenu dépassant d'environ 20% son minimum au sens large. Les frais d’entretien de l’enfant majeur découlant de l’art. 277 al. 2 CC ne doivent dès lors pas être inclus dans le minimum vital élargi de l’époux crédirentier (ATF 132 III 209 c.</w:t>
      </w:r>
    </w:p>
    <w:p>
      <w:r>
        <w:rPr>
          <w:b/>
        </w:rPr>
        <w:t>E. 4</w:t>
      </w:r>
    </w:p>
    <w:p>
      <w:r>
        <w:t>Au vu de ce qui précède, l’appel doit être partiellement admis et l’ordonnance réformée au chiffre I de son dispositif en ce sens que l'appelant contribuera à l'entretien de son épouse et de son fils C.N.________ par le versement d'une pension de 1'200 fr. pour le mois d'avril 2013, puis de son épouse seule par le versement d'une pension du même montant . Aucune partie n'obtenant entièrement gain de cause, les frais judiciaires de deuxième instance, arrêtés à 600 fr. (art. 65 al. 3 TFJC [tarif des frais judiciaires civils du 28 septembre 2010; RSV 270.11.5]) et mis par moitié à la charge de chacune des parties (art. 106 al. 2 TFJC), sont laissés à la charge de l’Etat (art. 122 al. 1 let. b CPC). En sa qualité de conseil d’office de l'appelant, Me Dominique d'Eggis a droit à une rémunération équitable pour ses opérations et débours dans la procédure d’appel (art. 122 al. 1 let. a CPC). Celui-ci a produit, en date du 4 décembre 2013, une liste des opérations indiquant 9 heures trente de travail consacré à la procédure de deuxième instance. Une indemnité correspondant à 8 heures de travail d'avocat, au tarif horaire de 180 fr. hors TVA (art. 2 al. 1 let. a et b RAJ [Règlement sur l'assistance judiciaire en matière civile, RSV 211.02.3]), apparaît toutefois suffisante et adéquate au regard des opérations effectuées. L’indemnité d’office due à Me d'Eggis doit ainsi être arrêtée à 1'440 fr. pour ses honoraires, plus 115 fr. 20 de TVA au taux de 8% et un montant de 27 fr., TVA comprise, pour ses débours, soit une indemnité totale de 1'582 fr. 20. Me Jean Lob, conseil d’office de l'intimée, a également droit à une rémunération équitable pour ses opérations et débours dans la procédure d’appel. Celui-ci a produit, le 3 décembre 2013, une liste des opérations et invoque avoir consacré 8 heures à la procédure de deuxième instance. L’indemnité d’office due à Me Lob doit ainsi être arrêtée à 1'440 fr. pour ses honoraires, plus 115 fr. 20 de TVA et 21 fr. 60, TVA comprise, pour ses débours, soit une indemnité totale de 1'576 francs 80. Les bénéficiaires de l’assistance judiciaire sont, dans la mesure de l’art. 123 CPC, tenus au remboursement des frais judiciaires et de l’indemnité du conseil d’office mis à la charge de l’Etat. Vu l'issue du litige, il y a lieu de compenser les dépens de deuxième instance (art. 95 al. 3, 106 al. 2 CPC). Par ces motifs, la juge déléguée de la Cour d’appel civile du Tribunal cantonal, statuant à huis clos, en application de l'art. 312 al. 1 CPC, prononce : I. L’appel est partiellement admis. II. L'ordonnance est réformée comme il suit au chiffre I de son dispositif: I. dit que A.N.________ contribuera à l'entretien de son épouse B.N.________ et de son fils C.N.________ par le versement d'une pension de 1'200 fr. (mille deux cents francs), allocations familiales en sus, pour le mois d'avril 2013, payable au 1 er avril 2013; Ibis. dit que A.N.________ contribuera à l'entretien de son épouse B.N.________ par le régulier versement d'une pension de 1'200 fr. (mille deux cents francs), dès le 1 er mai 2013. L'ordonnance est confirmée pour le surplus. III. Les frais judiciaires de deuxième instance, arrêtés à 600 fr. (six cents francs) et mis par moitié à la charge de chacune des parties, sont laissés à la charge de l’Etat. IV. L’indemnité d’office de Me Dominique d'Eggis, conseil d'office de l'appelant, est arrêtée à 1'582 fr. 20 (mille cinq cent huitante-deux francs et vingt centimes), TVA et débours compris. V. L’indemnité d’office de Me Jean Lob, conseil d'office de l'intimée, est arrêtée à 1'576 fr. 80 (mille cinq cent septante-six francs et huitante centimes), TVA et débours compris VI. Les bénéficiaires de l’assistance judiciaire sont, dans la mesure de l’art. 123 CPC, tenus au remboursement des frais judiciaires et de l’indemnité aux conseils d’office, mis à la charge de l’Etat. VII. Les dépens de deuxième instance sont compensés. VIII. L'arrêt est exécutoire. La juge déléguée : La greffière : Du L'arrêt qui précède, dont la rédaction a été approuvée à huis clos, est notifié en expédition complète, par l'envoi de photocopies, à : ‑ Me Dominique d'Eggis (pour A.N.________), ‑ Me Jean Lob (pour B.N.________ et C.N.________).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