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787 vom 4. Dezember 2013</w:t>
      </w:r>
    </w:p>
    <w:p>
      <w:r>
        <w:t>VD Tribunal cantonal, 2013-12-04, FR</w:t>
      </w:r>
    </w:p>
    <w:p>
      <w:r>
        <w:rPr>
          <w:b/>
        </w:rPr>
        <w:t xml:space="preserve">Quelle: </w:t>
      </w:r>
      <w:r>
        <w:t>https://mcp.opencaselaw.ch/entscheid/vd_findinfo_HC___2013___787</w:t>
      </w:r>
    </w:p>
    <w:p>
      <w:r>
        <w:t>FR: VD_FINDINFO HC / 2013 / 787 du 4 décembre 2013</w:t>
      </w:r>
    </w:p>
    <w:p>
      <w:r>
        <w:t>IT: VD_FINDINFO HC / 2013 / 787 del 4 dicembre 2013</w:t>
      </w:r>
    </w:p>
    <w:p>
      <w:pPr>
        <w:pStyle w:val="Heading2"/>
      </w:pPr>
      <w:r>
        <w:t>Regeste</w:t>
      </w:r>
    </w:p>
    <w:p>
      <w:r>
        <w:t>EXPULSION DE LOCATAIRE, DÉLAI FIXÉ PAR LE JUGE, PROLONGATION DU DÉLAI | 257d CO</w:t>
      </w:r>
    </w:p>
    <w:p>
      <w:pPr>
        <w:pStyle w:val="Heading2"/>
      </w:pPr>
      <w:r>
        <w:t>Erwägungen</w:t>
      </w:r>
    </w:p>
    <w:p>
      <w:r>
        <w:rPr>
          <w:b/>
        </w:rPr>
        <w:t>E. 1</w:t>
      </w:r>
    </w:p>
    <w:p>
      <w:r>
        <w:t>Aux termes de l’art. 319 CPC (Code de procédure civile du 19 décembre 2010 ;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En l’espèce, la non prolongation du délai de départ des locaux litigieux ne paraît pas susceptible de causer un dommage irréparable à la recourante. La question peut toutefois demeurer indécise pour les motifs qui suivent.</w:t>
      </w:r>
    </w:p>
    <w:p>
      <w:r>
        <w:rPr>
          <w:b/>
        </w:rPr>
        <w:t>E. 2</w:t>
      </w:r>
    </w:p>
    <w:p>
      <w:r>
        <w:t>G.________ ne pouvait pas demander la prolongation du délai de départ fixé judiciairement (arrêt CACI du 20 septembre 2013 et lettre de la Juge de paix du 28 octobre 2013). Il ne s’agissait en effet pas d’une décision administrative sujette à réexamen. C’est donc à juste titre que la première juge a rejeté cette demande. Peu importe que la recourante allègue qu’à dire de médecin, elle n’aurait plus la capacité d’agir : cette prétendue incapacité est sans portée en ce qui concerne l’existence du délai de départ. Si l’exécution forcée était requise, il appartiendrait au juge de l’exécution de prendre les mesures nécessaires pour pallier le fait que la recourante serait le cas échéant inapte à collaborer à son expulsion.</w:t>
      </w:r>
    </w:p>
    <w:p>
      <w:r>
        <w:rPr>
          <w:b/>
        </w:rPr>
        <w:t>E. 3</w:t>
      </w:r>
    </w:p>
    <w:p>
      <w:r>
        <w:t>Il s’ensuit que le recours doit être rejeté et la décision entreprise confirmée. Il n’est pas perçu de frais judiciaires (art. 10 TFJC [tarif des frais judiciaires en matière civile du 28 septembre 2010 ; RSV 270.11.5]). Par ces motifs, la Chambre des recours civile du Tribunal cantonal, statuant à huis clos, prononce : I. Le recours est rejeté dans la mesure où il est recevable. II. La décision est confirmée. III. L’arrêt, rendu sans frais judiciaires, est exécutoire. Le président :               La greffière : Du L'arrêt qui précède, dont la rédaction a été approuvée à huis clos, est notifié à : ‑ G.________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