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780 vom 20. Februar 2014</w:t>
      </w:r>
    </w:p>
    <w:p>
      <w:r>
        <w:t>VD Tribunal cantonal, 2014-02-20, FR</w:t>
      </w:r>
    </w:p>
    <w:p>
      <w:r>
        <w:rPr>
          <w:b/>
        </w:rPr>
        <w:t xml:space="preserve">Quelle: </w:t>
      </w:r>
      <w:r>
        <w:t>https://mcp.opencaselaw.ch/entscheid/vd_findinfo_HC___2013___780</w:t>
      </w:r>
    </w:p>
    <w:p>
      <w:r>
        <w:t>FR: VD_FINDINFO HC / 2013 / 780 du 20 février 2014</w:t>
      </w:r>
    </w:p>
    <w:p>
      <w:r>
        <w:t>IT: VD_FINDINFO HC / 2013 / 780 del 20 febbraio 2014</w:t>
      </w:r>
    </w:p>
    <w:p>
      <w:pPr>
        <w:pStyle w:val="Heading2"/>
      </w:pPr>
      <w:r>
        <w:t>Regeste</w:t>
      </w:r>
    </w:p>
    <w:p>
      <w:r>
        <w:t>EXCLUSION{EN GÉNÉRAL}, ASSURANCE COMPLÉMENTAIRE, ASSURANCE DE RESPONSABILITÉ CIVILE PROFESSIONNELLE, CONTRAT D'ENTREPRISE | 18 al. 1 CO, 33 LCA</w:t>
      </w:r>
    </w:p>
    <w:p>
      <w:pPr>
        <w:pStyle w:val="Heading2"/>
      </w:pPr>
      <w:r>
        <w:t>Erwägungen</w:t>
      </w:r>
    </w:p>
    <w:p>
      <w:r>
        <w:rPr>
          <w:b/>
        </w:rPr>
        <w:t>E. 1</w:t>
      </w:r>
    </w:p>
    <w:p>
      <w:r>
        <w:t>Le jugement attaqué a été rendu le 2 août 2013, de sorte que les voies de droit sont régies par le CPC (Code de procédure civile suisse du 19 décembre 2008, RS 272), entré en vigueur le 1 er janvier 2011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Conformément à l’art. 316 al. 3 CPC, l’instance d’appel peut administrer les preuves, si elle estime opportun de renouveler l’administration d’une preuve ou d’administrer une preuve alors que l’instance inférieure s’y était refusée (Jeandin, op. cit., n. 5 ad art. 316 CPC). En l'espèce, l'état de fait a été complété au moyen des pièces et des rapports d'expertise figurant au dossier de première instance et la Cour de céans est en mesure de statuer. Il ne sera dès lors pas donné suite à la réquisition de l'appelante tendant à une nouvelle audition des témoins C.________ et J.________. Il appartenait de toute manière à l'appelante de faire protocoler les déclarations des témoins conformément à la jurisprudence rendue sous l'empire du CPC-VD (Code de procédure civile du canton de Vaud du 14 décembre 1966, abrogé au 1 er janvier 2013), applicable à la présente procédure (art. 404 al. 1 CPC). Elle ne saurait dès lors invoquer l'absence de ténorisation des déclarations des témoins pour obtenir leur réaudition en deuxième instance (JT 2001 III 80).</w:t>
      </w:r>
    </w:p>
    <w:p>
      <w:r>
        <w:rPr>
          <w:b/>
        </w:rPr>
        <w:t>E. 3</w:t>
      </w:r>
    </w:p>
    <w:p>
      <w:r>
        <w:t>a/aa) L'appelante reproche aux premiers juges d'avoir fait preuve d'arbitraire en refusant l'application des art. 67 et 68 CGA au motif que ces clauses s'écarteraient des règles usuelles en matière d'assurance responsabilité civile d'entreprise. Elle fait valoir que, dans ce domaine, l'exclusion des prétentions du lésé fondées sur l'inexécution ou la mauvaise exécution du contrat par l'assuré (soit l'art. 63 CGA) et l'exclusion des prétentions pour des dommages causés à des choses prises ou reçues par un assuré pour être utilisées, travaillées, gardées ou transportées (soit les art. 67 et 68 CGA) sont habituelles. Dès lors qu'en l'espèce les vitrages endommagés constituaient l'objet principal des travaux de l'entreprise de nettoyage de l'intimée H.________, les prétentions découlant des dommages causés par cette dernière aux vitrages ne seraient pas assurées. L'appelante considère que les premiers juges auraient également dû retenir l'application de l'art. 64 CGA, dès lors que l'intimée H.________, qui n'en était pas à son premier chantier ou son premier travail de nettoyage, devait s'attendre à la survenance des dommages sur les vitrages à nettoyer, ainsi que de l'art. 65 CGA, les dommages ayant été causés par manque de soin. Par ailleurs, elle fait valoir que, même s'il fallait considérer que le résultat n'était pas prévisible, il aurait en revanche fallu admettre l'existence d'une faute grave de la part de l'intimée H.________, au sens de l'art. 14 al. 2 LCA, et réduire en conséquence et d'au moins 50% l'indemnité due à celle-ci. bb) L'intimée H.________ considère que l'art. 66 CGA est inapplicable, dès lors qu'il suppose une prise de possession par l'assuré, respectivement une "dépossession" du point de vue du lésé, qui n'a en l'espèce pas eu lieu. Elle rejette l'application de l'art. 67 CGA qu'elle qualifie d'incompréhensible, dès lors qu'il peut être interprété de trois manières. Pour ce qui est de l'art. 68 CGA, l'intimée H.________ relève que la clause d'exclusion qu'elle contient exclut de son champ d'application son activité et, pour le cas où elle la couvrirait, remplit les conditions de la clause insolite. S'agissant de la clause prévue par l'art. 64 CGA, l'intimée H.________ expose qu'elle ne pouvait prévoir le dommage précisément parce qu'elle avait employé la même méthode de travail que celle qu'elle avait appliquée sur tous les chantiers précédents. Selon elle, l'art. 65 CGA lui serait également inapplicable, dès lors que sa méthode n'avait pas pour but de réduire les coûts ou d'accélérer le rythme de travail, ce que l'appelante n'alléguait d'ailleurs pas. Quant à l'art. 14 al. 2 LCA, les conditions de la faute grave ne seraient pas remplies en l'espèce, seule une négligence légère pouvant lui être reprochée. cc) Pour leur part, les intimés G.________ font valoir, sous l'angle de la clause de l'"objet travaillé", que les vitres ne sauraient être qualifiées comme tel, dès lors qu'elles ne devaient subir aucun changement en elles-mêmes, mais uniquement être débarrassées de la saleté qui s'y trouvait. Ils considèrent ensuite que la clause de la chose travaillée telle qu'interprétée par l'appelante tombe sous le coup de l'art. 8 LCD, tant dans son texte en vigueur au moment des faits que dans sa teneur actuelle. Ils s'appuient également sur l'art. 1 CGA, aux termes duquel est assurée la responsabilité, fondée sur les dispositions légales en matière de responsabilité civile, découlant d'une activité assurée conformément au présent contrat pour dégâts matériels (c.-à-d. destruction, détérioration ou perte de choses, y compris les dommages économiques consécutifs à un dégât matériel assuré causé à la personne lésée). Ils contestent également l'applicabilité des art. 64 et 65 CGA au cas d'espèce. b/aa) Comme dans toutes les branches d'assurances, les risques non assurés en matière de responsabilité civile échappent de deux manières à la couverture du contrat: soit parce qu'ils ne sont pas mentionnés dans le catalogue des risques assurés, soit parce que, présentant un caractère non assurable (ou non désiré par l'assureur) d'un risque inclus, ils sont expressément exclus de la garantie, conformément aux exigences de l'art. 33 LCA (loi fédérale suisse sur le contrat d'assurance du 2 avril 1908, RS 221.229.1) (Brehm, Le contrat d'assurance RC, Bâle 1997, n. 221, p. 95). Selon cette disposition, l'assureur répond de tous les événements qui présentent le caractère du risque contre les conséquences duquel l'assurance a été conclue, à moins que le contrat n'exclue certains événements de manière précise, non équivoque. En effet, le contrat d'assurance est soumis au principe de la liberté contractuelle, même si la LCA impose quelques règles spéciales, de sorte que les parties peuvent restreindre la couverture à certains sinistres, ceci pour autant que la restriction soit formulée en termes précis et non équivoques (Carré, Loi fédérale sur le contrat d'assurance, Lausanne 2000, note ad art. 33 LCA, p. 244). La LCA ne contient pas de règles d'interprétation des contrats. Comme elle renvoie au Code des obligations pour tout ce qu'elle ne règle pas elle-même (art. 100 LCA), la jurisprudence en matière de contrats est applicable (TF 4A_140/2007 du 3 août 2007 c. 5.1).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interprétation subjective; ATF 131 III 606 c.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ATF 132 III 268 c. 2.3.2, traduit in JT 2006 I 564; TF 4A_140/2007 du 3 août 2007 c. 5.1).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 2.3.2, traduit in JT 2006 I 564; ATF 130 III 686 c. 4.3.1, traduit in JT 2005 I 247).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(ATF 131 III 606 c. 4.2; ATF 130 III 417 c. 3.2, TF 5C.208/2006 du 8 janvier 2007 c. 2.1). Les conditions générales, lorsqu'elles ont été incorporées au contrat, en font partie intégrante; elles doivent être interprétées selon les mêmes principes que les autres dispositions contractuelles (TF 4A_172/2008 du 16 mai 2008 c. 3.1). En matière d'assurance, plus particulièrement, une clause d'exclusion doit être interprétée en tenant compte de tous les éléments intrinsèques et extrinsèques du contrat, de l'esprit dans lequel le contrat a été conclu, de toutes les circonstances de la conclusion du contrat, des conversations intervenues, ainsi que du degré d'instruction du proposant (Carré, op. cit., note ad art. 33 LCA, p. 245). Une clause limitative de couverture doit être interprétée restrictivement, et non pas extensivement, dans un esprit large et conforme à l'art. 33 LCA, et selon les règles de la bonne foi. L'art. 33 LCA n'exige pas une énumération de tous les événements exclus; il suffit d'en décrire une catégorie de manière assez précise et non équivoque pour qu'il ne subsiste aucun doute sur l'étendue du risque assuré, compte tenu du contexte (ATF 118 II 342 c. 1a). Pour apprécier la portée d'une clause restrictive, il faut se référer au sens généralement donné, dans le langage courant, aux termes utilisés dans le contrat, et non pas au sens juridique ou technique des termes utilisés (Carré, op. cit., note ad art. 33 LCA, p. 246). En cas de dispositions pouvant recevoir plusieurs interprétations, celle qui est la plus largement en faveur de l'assuré doit prévaloir. L'art. 33 LCA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 2a; ATF 119 II 368 c. 4b; ATF 118 II 342 c.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 2d; ATF 118 II 342 c. 1a; ATF 100 II 144 c. 4c; ATF 99 II 290 c. 5; TF 5C.208/2006 du 8 janvier 2007 c. 3.1). bb) De manière générale, un certain nombre d'exclusions prévues par les conditions générales sont propres à l'assurance responsabilité civile, et plus précisément à l'assurance responsabilité civile générale d'entreprise. Une exclusion particulièrement importante est celle ayant trait aux prétentions du lésé tendant à l'exécution même du contrat par lequel l'assuré est lié envers un tiers. Il s'agit là du "risque d'entreprise" stricto sensu, dont l'assureur ne peut ni ne veut décharger l'assuré. L'assureur responsabilité civile ne couvre ainsi pas le risque de non-exécution contractuelle ou de l'exécution imparfaite du contrat. A tout le moins, les conséquences de l'exécution imparfaite ne sont pas assurées en ce qui concerne l'objet même du contrat. Restent garantis, en revanche, les dommages que le lésé, partenaire au contrat, subit lorsque l'exécution imparfaite du contrat cause un dommage aux choses du lésé qui n'étaient pas directement l'objet du contrat (Brehm, op. cit., n. 259, pp. 107 s.). Une autre clause d'exclusion habituelle est celle ayant trait aux prétentions pour les dommages à des choses prises ou reçues par un assuré pour être utilisées, travaillées, gardées ou transportées. Cette exclusion fait partiellement double emploi avec la précédente. La véritable distinction réside dans le fondement des deux exclusions. La première vise la prestation contractuelle tandis que la seconde a trait à l'objet matériel de l'activité de l'assuré (Brehm, op. cit., n. 263, p. 109). Selon la branche professionnelle envisagée, cette clause d'exclusion reçoit une portée plus ou moins restreinte. Ainsi, pour les entreprises de construction et de génie civil, pour lesquelles l'objet matériel est généralement constitué par un immeuble entier, la clause reçoit une portée plus limitée: l'exclusion ne s'étend que sur la partie de l'immeuble directement touchée par les travaux ou se trouvant en connexité étroite avec la partie travaillée. Une telle interprétation doit raisonnablement être admise dans tous les cas où l'objet présente une dimension telle que le travail ne porte que sur une partie déterminée, qui n'implique pas la prise en "travail" de l'objet entier (Brehm, op. cit., n. 267, p. 111). L'exclusion du risque de dommage aux objets confiés et travaillés n'est pas systématique. Ainsi, dans l'assurance responsabilité civile de certains corps de métiers (architectes, ingénieurs, corps de métiers du bâtiments, vétérinaires, hôteliers), cette exclusion peut être réduite ou même supprimée (Brehm, op. cit., n. 269, p. 112). Est également admise la clause excluant les prétentions résultant de dommages dont la survenance était prévisible et dont on a accepté qu'ils se produisent, notamment "en choisissant une certaine méthode de travail, afin de diminuer les frais ou accélérer les travaux" (Brehm, op. cit., n. 257, p. 107). cc) En assurance responsabilité civile, l'assuré qui désire la prise en charge d'un sinistre par l'assureur doit établir (art. 8 CC [Code civil suisse du 10 décembre 1907, RS 210]) qu'il est civilement responsable d'un dommage du lésé, que ce dernier demande réparation et que le dommage a été causé lors d'une activité prévue dans le contrat d'assurance. Il doit également prouver l'importance du dommage, soit démontrer que son patrimoine est grevé d'un passif, ce qui lui permet de demander à l'assureur responsabilité civile d'exécuter son obligation (Brehm, op. cit., n. 7, p. 27 et n. 388, p. 151). En revanche, la preuve d'une exclusion de couverture valable est à charge de l'assureur qui entend s'en prévaloir, de même que la preuve que l'événement dommageable tombe sous le coup de cette exclusion (Carré, op. cit., ad art. 33 LCA, p. 248). c) En l'espèce, l'appelante et l'intimée H.________ ont conclu un contrat d'assurance d'entreprise, aux termes duquel celle-là assurait la responsabilité civile découlant notamment de l'activité de nettoyage de l'entreprise de celle-ci (cf. art. 6 CGA) et de dommages à des choses prises en charge par celle-ci pour être utilisées ou travaillées, dans la mesure où de tels dommages sont causés sur ses lieux d'exploitation (cf. art. 48 CGA). aa) Les premiers juges ont retenu que l'art. 63 CGA, selon lequel étaient exclues "les prétentions tendant à l'exécution de contrats ou, en lieu et place, les prétentions compensatoires pour inexécution ou exécution imparfaite, en particulier celles pour des dommages et défauts à des choses fabriquées ou livrées ou à des travaux exécutés par le preneur d'assurance ou pour son compte, et dont la cause réside dans la fabrication, la livraison ou l'exécution du travail", ne s'appliquait pas. Ils ont considéré que la méthode et les outils utilisés par l'intimée H.________ étaient, à dire d'expert, appropriés et usuels et que, dès lors que l'exécution du travail de celle-ci consistait non pas à fabriquer ou poser des vitrages, mais à les nettoyer, ce qu'elle avait fait dans la mesure où les vitrages étaient propres après son passage, l'intimée H.________ avait correctement exécuté son travail de nettoyage. Cette appréciation ne saurait être confirmée. Par contrat d'entreprise, l'intimée H.________ s'est engagée à nettoyer les vitrages des intimés G.________ à l'issue des travaux de construction de leur villa. L'entrepreneur est tenu de livrer un ouvrage sans défaut (Tercier/Favre/Carron, Les contrats spéciaux, Zurich 2009, n. 4459); il assume une garantie pour les défauts, laquelle est régie par les art. 367 ss CO (Code des obligations du 30 mars 1911, RS 220) qui constituent une réglementation spéciale de l'exécution imparfaite et priment le régime général de l'art. 97 al. 1 CO. Il ressort du jugement entrepris ainsi que des rapports d'expertise qu'au moins dix des cinquante-et-un vitrages de la villa des intimés B.G.________ ont été rayés par l'intimée H.________ alors qu'elle procédait à leur nettoyage. Il a été retenu que ces rayures constituaient des défauts au sens des art. 367 ss CO par les premiers juges. Partant, on ne saurait admettre que l'intimée H.________ a bien exécuté son obligation; quand bien même les vitrages livrés par celle-ci étaient propres, il n'en reste pas moins qu'une partie de ceux-ci étaient rayés à l'issue de son travail et, ainsi, entachés d'un défaut. L'exécution du travail de nettoyage de l'intimée H.________ était dès lors imparfaite, ce qui a d'ailleurs été constaté par l'expert. Celui-ci a en effet déclaré que, certes, la méthode et les outils utilisés par l'entreprise de nettoyage étaient appropriés et corrects, mais que l'exécution n'était en partie pas correcte (cf. réponse de l'expert ad all. 59) et que, à voir le résultat, l'entreprise de nettoyage avait en partie mal exécuté son travail (cf. réponse de l'expert ad all. 65). Il s'ensuit que, l'exécution imparfaite du contrat d'entreprise par l'intimée H.________ étant à l'origine des défauts sur lesquels les prétentions des intimés G.________ sont fondées, ces dernières ne sont, compte tenu de l'admissibilité d'une clause d'exclusion portant sur le "risque d'entreprise", prévue en l'occurrence par l'art. 63 CGA, pas couvertes par le contrat d'assurance de l'intimée H.________. bb) On relève qu'en l'espèce le contrat d'assurance comporte également une clause d'exclusion ayant trait aux prétentions pour des dommages à des choses prises en charge par un assuré pour être travaillées. Pareille clause résulte avant tout de l'art. 66 CGA, à la teneur duquel "la responsabilité civile pour les dommages causés à des choses qu'un assuré a prises en charge en vue de les utiliser, les travailler, les garder ou pour d'autres raisons (prises en commission, pour une exposition), ou encore qu'il a louées, prises en leasing ou en fermage, à l'exception toutefois des dommages qui sont expressément couverts par le présent contrat". Ce type de clause vise l'objet matériel de l'activité, qui doit avoir été pris ou reçu par l'assuré. Un transfert n'est pas nécessaire, la mise à disposition suffit; la remise peut tendre notamment à l'utilisation de la chose ou en impliquer la garde; la clause d'exclusion implique une relation suffisamment étroite entre la chose et l'assuré pour que le premier doive veiller sur la seconde (ATF 118 II 342 c. 1b). Pour ce qui concerne les travaux de sous-œuvre, l'ensemble du bâtiment est considéré comme chose confiée dont les dommages sont exclus de la couverture promise (Carré, op. cit., note ad art. 33 LCA, p. 251). Les vitrages ont été pris en charge par l'entreprise de l'intimée H.________ pour être "travaillés", savoir nettoyés à l'issue de la construction de la villa des intimés G.________. Il en résulte que les prétentions découlant des dommages causés à ces vitrages sont également exclues de la couverture d'assurance en vertu de l'art. 66 CGA. cc) Les exclusions des art. 63 et 66 CGA sont usuelles en matière de responsabilité civile d'entreprise; elles ne sont donc pas insolites au sens de la jurisprudence en la matière (cf. ATF 138 III 411, résumé et traduit in SJ 2012 I 445; ATF 135 III 1, traduit in JT 2011 II 516; ATF 135 III 225, traduit in JT 2009 I 475) ou contraires à l'art. 8 LCD (tel qu'interprété par l'ATF 119 II 443), étant précisé que l'examen doit se faire sous l'angle de l'art. 8 aLCD, la nouvelle teneur de cette disposition, en vigueur depuis le 1 er juillet 2012 (RO 2011 4909), n'ayant pas d'effet rétroactif (Bieri, Le contrôle judiciaire des conditions générales: réflexions sur le nouvel article 8 LCD, in Bohnet (édit.), Le nouveau droit des conditions générales et pratiques commerciales déloyales, Bâle 2012, p. 60 et les réf. citées). dd) Les autres clauses d'exclusion, sur lesquelles se fonde l'appelante, sont également envisageables. Cela vaut en particulier pour les art. 67 et 68 CGA, qui font double emploi avec l'art. 63 CGA. En effet, ces dispositions excluent les prétentions découlant de dommages causés à la chose sur laquelle l'activité a été effectuée et en l'espèce, précisément, le dommage résulte des dégâts causés aux vitrages, soit des défauts entraînés par l'exécution imparfaite du contrat à l'objet même sur lequel portait ce contrat. Partant, le moyen de l'appelante doit être admis. Il s'ensuit que le moyen de l'appelante tiré de la mauvaise application par les premiers juges des art. 64 et 65 CGA n'a pas à être examiné.</w:t>
      </w:r>
    </w:p>
    <w:p>
      <w:r>
        <w:rPr>
          <w:b/>
        </w:rPr>
        <w:t>E. 4</w:t>
      </w:r>
    </w:p>
    <w:p>
      <w:r>
        <w:t>a) L'appelante s'en prend à la quotité des dépens, arrêtés à 16'627 fr. 10, alloués aux intimés G.________. Elle expose que ces derniers ont été indemnisés à hauteur de 80% de leurs frais de justice et d'avocats, alors qu'ils n'ont obtenu que le 57% de leurs prétentions, soit 57'000 fr. sur 100'000 francs. Dans sa réponse, l'intimée H.________ ne conteste pas la quotité des dépens alloués aux intimés G.________, qu'elle n'estime pas excessifs, compte tenu de ce qu'ils ont obtenu gain de cause sur le principe et 57% de leurs conclusions. Pour leur part, les intimés G.________ soutiennent que la conclusion portant sur les dépens qui leur ont été alloués est irrecevable puisqu'elle concerne l'intimée H.________ qui a accepté le jugement, qui est à son égard définitif et exécutoire. b) Compte tenu de ce que les dépens de première instance en faveur des intimés G.________ ont été mis à la seule charge de l'intimée H.________, laquelle n'a ni fait appel ni contesté les dépens alloués, que ce soit dans leur principe ou leur quotité, ils peuvent être confirmés dans le cadre de la procédure d'appel. c) Pour ce qui est des dépens de première instance en faveur de l'appelante, obtenant gain de cause, elle a droit à de pleins dépens à la charge de la l'intimée H.________, mais uniquement pour ce qui touche à la problématique de la couverture d'assurance. Les frais de procédure incidente d'appel en cause, arrêtés à 400 fr., ayant été mis à la charge de la prénommée, et l'instruction de la cause ayant porté essentiellement sur la question principale, il y a lieu de lui allouer un montant de 2'500 fr. à titre de dépens de première instance.</w:t>
      </w:r>
    </w:p>
    <w:p>
      <w:r>
        <w:rPr>
          <w:b/>
        </w:rPr>
        <w:t>E. 5</w:t>
      </w:r>
    </w:p>
    <w:p>
      <w:r>
        <w:t>a) En définitive, l'appel doit être partiellement admis et le jugement entrepris réformé, le chiffre II de son dispositif étant supprimé et le chiffre V modifié en ce sens que l'intimée H.________ versera à l'appelante la somme de 2'500 fr. à titre de dépens de première instance. b) L'appelante obtient gain de cause sur la question de la couverture d'assurance et succombe sur celle de la quotité des dépens alloués aux intimés G.________. Les frais judiciaires de deuxième instance, arrêtés à 1'565 fr. (art. 62 al. 1 TFJC [tarif des frais judiciaire civils du 28 septembre 2010, RSV 270.11.5]), seront dès lors mis à la charge de l'intimée H.________ à raison de quatre cinquième, par 1'252 fr., et à la charge de l'appelante à raison d'un cinquième, par 313 francs. L'intimée H.________ versera ainsi à l'appelante la somme de 1'252 fr. à titre de restitution de l’avance de frais fournie par cette dernière (art. 111 al. 2 CPC). c) Dans sa liste d'opérations du 3 février 2014, le conseil de l'intimée H.________ a indiqué avoir consacré seize heures et dix minutes à l'accomplissement de son mandat. Au regard des opérations effectuées, savoir un courrier au conseil des intimés G.________ et la rédaction d'un mémoire de dix pages, il y a lieu d'admettre un total de huit heures. Au tarif horaire de 180 fr. (art. 2 al. 1 let. a RAJ [règlement sur l'assistance judiciaire en matière civile du 7 décembre 2010, RSV 211.02.3]), l'indemnité de Me Yvan Guichard doit être fixée à 1'440 fr., montant auquel il convient d'ajouter la TVA, par 115 fr. 20, soit au montant total de 1'555 fr. 20. d) Vu l'issue du litige, l'intimée H.________ versera à l'appelante la somme de 2'500 fr. (art. 7 al. 1 TDC [tarif des dépens en matière civile du 23 novembre 2010, RSV 270.11.6] à titre de dépens de deuxième instance. Les intimés G.________, qui ont été invités à se déterminer, obtenant gain de cause sur la question de la quotité des dépens de première instance, l'appelante leur versera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