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 vom 30. Januar 2013</w:t>
      </w:r>
    </w:p>
    <w:p>
      <w:r>
        <w:t>VD Tribunal cantonal, 2013-01-30, FR</w:t>
      </w:r>
    </w:p>
    <w:p>
      <w:r>
        <w:rPr>
          <w:b/>
        </w:rPr>
        <w:t xml:space="preserve">Quelle: </w:t>
      </w:r>
      <w:r>
        <w:t>https://mcp.opencaselaw.ch/entscheid/vd_findinfo_HC___2013___78</w:t>
      </w:r>
    </w:p>
    <w:p>
      <w:r>
        <w:t>FR: VD_FINDINFO HC / 2013 / 78 du 30 janvier 2013</w:t>
      </w:r>
    </w:p>
    <w:p>
      <w:r>
        <w:t>IT: VD_FINDINFO HC / 2013 / 78 del 30 gennaio 2013</w:t>
      </w:r>
    </w:p>
    <w:p>
      <w:pPr>
        <w:pStyle w:val="Heading2"/>
      </w:pPr>
      <w:r>
        <w:t>Regeste</w:t>
      </w:r>
    </w:p>
    <w:p>
      <w:r>
        <w:t>RELATIONS PERSONNELLES, DIVORCE, MESURE PROVISIONNELLE, SURVEILLANCE{EN GÉNÉRAL}, VISITE | 273 CC</w:t>
      </w:r>
    </w:p>
    <w:p>
      <w:pPr>
        <w:pStyle w:val="Heading2"/>
      </w:pPr>
      <w:r>
        <w:t>Erwägungen</w:t>
      </w:r>
    </w:p>
    <w:p>
      <w:r>
        <w:rPr>
          <w:b/>
        </w:rPr>
        <w:t>E. 1</w:t>
      </w:r>
    </w:p>
    <w:p>
      <w:r>
        <w:t>a) L'appel est recevable contre les ordonnances de mesures provisionnelles (art. 308 al. 1 let. b CPC), dans les affaires non patrimoniales et dans les affaires patrimoniales dont la valeur litigieuse au dernier état des conclusions est de 10'000 fr. au moins (art. 308 al. 2 CPC). Les causes portant sur le droit de la famille qui, comme en l'espèce, ne concernent pas uniquement les aspects financiers du divorce ou de sa modification ne sont pas patrimoniales (Jeandin, CPC commenté, Bâle 2011, n. 12 ad art. 308 CPC, p. 1243). Partant, la voie de l'appel est ouverte. b) Les ordonnances de mesures provisionnelles sont régies par la procédure sommaire, selon l'art. 248 let. d CPC et selon l'art. 271 CPC par renvoi de l'art. 276 CPC pour les procédures matrimoniales. Par conséquent, l’appel, écrit et motivé, est introduit auprès de l’instance d’appel, en l'occurrence la Cour d'appel civile dont un membre statue comme juge unique (art. 84 al. 2 LOJV [Loi  vaudoise d'organisation judiciaire du 12 décembre 1979; RSV 173.01]) dans les dix jours à compter de la notification de la motivation (art. 239 CPC). c) Formé en temps utile par une partie qui y a intérêt (art. 59 al. 2 let. a CPC),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(Jeandin, op. cit., n. 6 ad art. 310 CPC, p. 1249 s.).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l'attestation du Dr [...] du 15 novembre 2012 est recevable.</w:t>
      </w:r>
    </w:p>
    <w:p>
      <w:r>
        <w:rPr>
          <w:b/>
        </w:rPr>
        <w:t>E. 3</w:t>
      </w:r>
    </w:p>
    <w:p>
      <w:r>
        <w:t>a) L’appelant conteste devoir exercer son droit de visite sur ses deux enfants dans un cadre protégé. Il soutient que les griefs formulés à son encontre dans la décision attaquée, selon lesquels il se plaindrait à tort de la Fondation Perceval, ne seraient plus d’actualité. Il aurait ainsi pu mettre en place avec les éducateurs de cette institution un droit de visite lui permettant de rencontrer ses deux enfants dans les locaux de la Fondation Perceval. Cette issue démontrerait que les affirmations du SPJ sont erronées, ce qui serait du reste confirmé par la teneur de l’attestation de son médecin traitant, le Dr [...], qui considère qu’un droit de visite surveillé ne serait ni nécessaire, ni indiqué. En définitive, sa place de père ne serait pas suffisamment reconnue, en raison des relations tendues qu’il entretient avec le SPJ. Subsidiairement, l’appelant demande que le droit de visite en milieu protégé se déroule hors la présence d’un éducateur et à un rythme plus soutenu, sans toutefois motiver sa conclusion.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I, Bâle 2010, n. 20 ad art. 176 CC ; TF 5A_826/2009 du 22 mars 2010 c. 2.1). Pour prendre une telle décision, le juge dispose d’un large pouvoir d’appréciation au sens de l’art. 4 CC et fait application du principe de proportionnalité (Chaix, op. cit., n. 1 et 20, p. 1234, respectivement p. 1240). Le droit aux relations personnelles vise à sauvegarder le lien existant entre parents et enfants (Hegnauer, Droit suisse de la filiation, Berne 1998, n. 19.20, p. 116). Le Tribunal fédéral relève à cet égard qu'il est unanimement reconnu que le rapport de l'enfant avec ses deux parents est essentiel et qu'il peut jouer un rôle décisif dans le processus de recherche d'identité de l'enfant (ATF 130 III 165 c. 2.2.2;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On tiendra compte notamment de l'âge de l'enfant (préscolarité ou adolescence par exemple), de son état de santé, de ses loisirs,etc. La notion que l'enfant a du temps, selon son âge, est également importante; de fréquentes rencontres de quelques heures peuvent ainsi être plus appropriées pour des enfants en bas âge que des week-ends entiers (Leuba, Commentaire romand, Code civil I, Bâle 2010, n. 14 ad art. 273 CC).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publié in FamPra.ch 2007 p. 167; Hegnauer, op. cit., Berne 1998,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29 octobre 2007 in FamPra 2008 p. 173).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 C.250/2005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du 23 février 2011 c. 4, in FamPra 2011 p. 491). c) En l’espèce, il existe des indices suffisants de mise en danger du développement des enfants justifiant, à titre temporaire et jusqu’à l’échéance du délai d’observation, que le droit de visite de l’appelant s’exerce dans un cadre protégé, en présence d’un éducateur. Il résulte ainsi du rapport établi le 25 septembre 2012 par les représentants du SPJ que l’appelant a tenu à ses enfants des propos de nature à les alarmer et à les déstabiliser, alors que la situation, à savoir le mandat de garde attribué au SPJ pour G.X.________, requiert au contraire que les parents adoptent une attitude collaborante et constructive. Il était ainsi particulièrement irresponsable et dommageable que l’appelant affirme faussement à sa fille F.X.________ que son frère G.X.________ était abusé par le personnel de l’institution où est placé celui-ci, qualifiant d’ailleurs dite institution de prison. Dans son appel, A.X.________ ne conteste pas le contenu de ce rapport, mais se borne à le relativiser, qualifiant ces informations d’anciennes, alors qu’elles ne le sont manifestement pas. Comme le relève le premier juge, il apparaît au demeurant que le développement de G.X.________ au sein de l’institution où il est placé s’améliore lorsque le père n’interfère pas dans ce suivi. Il résulte de rapports antérieurs, notamment de l’expertise pédopsychiatrique effectuée le 30 septembre 2008 par les médecins du SUPEA que l’appelant présente des troubles de la personnalité avec des réactions aiguës de stress qui se manifestent sous différentes formes. Dans le cadre de cette expertise, le médecin traitant de l’appelant, le Dr [...], a expliqué que le suivi complexe de [...] a déstabilisé son patient et qu’un cadre bien défini pourrait l’apaiser. Il s’est ainsi exprimé dans l’intérêt de son patient et non celui des enfants. L’attestation établie le 15 novembre 2012 pourrait donc relever de la même démarche, d’autant que l’opinion qui figure dans cette attestation n’est aucunement motivée, ni sur les capacités parentales de l’appelant, ni sur d’éventuelles contre-indications à un droit de visite surveillé. Or, comme on l’a vu, c’est l’intérêt des enfants qui prime celui des parents. Dans ses différents rapports, le SPJ a montré que les enfants souffraient d’un conflit de loyauté, confronté à un discours différent entre celui des parents et celui des intervenants institutionnels. Il est dans ces conditions essentiel que les parents n’évoquent pas leur conflit exacerbé durant l’exercice du droit de visite, afin de protéger l’équilibre psychique des enfants. Il est donc justifié que l’exercice des relations personnelles entre l’appelant et ses enfants fasse l’objet d’une période d’observation, afin de vérifier si, comme il le prétend, il est désormais disposé à adopter une attitude plus constructive et apaisante dans l’intérêt de ses enfants. Le premier juge a choisi la solution la moins coercitive, à titre temporaire avec une possibilité de réexamen à l’échéance du délai d’observation de trois mois. d) L’appelant sollicite à titre subsidiaire que les visites n’aient pas lieu en présence d’un éducateur, mais seule cette présence permet de pouvoir s'assurer qu’elles s’exercent sans perturbation pour les enfants. L’appelant demande aussi à pouvoir exercer son droit de visite à un rythme plus soutenu, mais il lui appartient d’abord de faire usage des possibilités offertes par la décision attaquée, plutôt que de refuser de voir sa fille dans un cadre protégé. e) Mal fondé, le moyen de l'appelant doit être rejeté.</w:t>
      </w:r>
    </w:p>
    <w:p>
      <w:r>
        <w:rPr>
          <w:b/>
        </w:rPr>
        <w:t>E. 4</w:t>
      </w:r>
    </w:p>
    <w:p>
      <w:r>
        <w:t>En définitive, l’appel doit être rejeté dans la procédure de l'art. 312 al. 1 CPC et l'ordonnance de première instance confirmée. L'appel étant d'emblée dépourvu de toute chance de succès, la requête d'assistance judiciaire de l'appelant doit être rejetée (art. 117 let. b CPC). Compte tenu de la situation financière de l'appelant, l'arrêt peut toutefois être rendu sans frais (art. 112 al. 1 CPC; art 6 al. 3 TFJC [tarif des frais judiciaires civils du 28 septembre 2010, RSV 270.11.5]). Par ces motifs, le juge délégué de la Cour d’appel civile du Tribunal cantonal, statuant à huis clos, en application de l'art. 312 al. 1 CPC, prononce : I. L'appel est rejeté. II. L'ordonnance est confirmée. III. La requête d'assistance judiciaire est rejetée. IV. L'arrêt motivé, rendu sans frais, est exécutoire. Le juge délégué : Le greffier : Du 31 janvier 2013 Le dispositif de l'arrêt qui précède est communiqué par écrit aux intéressés. Le greffier : Du L'arrêt qui précède, dont la rédaction a été approuvée à huis clos, est notifié en expédition complète, par l'envoi de photocopies, à : ‑ Me Paul-Arthur Treyvaud (pour A.X.________), ‑ Me Franck-Olivier Karlen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