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772 vom 26. November 2013</w:t>
      </w:r>
    </w:p>
    <w:p>
      <w:r>
        <w:t>VD Tribunal cantonal, 2013-11-26, FR</w:t>
      </w:r>
    </w:p>
    <w:p>
      <w:r>
        <w:rPr>
          <w:b/>
        </w:rPr>
        <w:t xml:space="preserve">Quelle: </w:t>
      </w:r>
      <w:r>
        <w:t>https://mcp.opencaselaw.ch/entscheid/vd_findinfo_HC___2013___772</w:t>
      </w:r>
    </w:p>
    <w:p>
      <w:r>
        <w:t>FR: VD_FINDINFO HC / 2013 / 772 du 26 novembre 2013</w:t>
      </w:r>
    </w:p>
    <w:p>
      <w:r>
        <w:t>IT: VD_FINDINFO HC / 2013 / 772 del 26 novembre 2013</w:t>
      </w:r>
    </w:p>
    <w:p>
      <w:pPr>
        <w:pStyle w:val="Heading2"/>
      </w:pPr>
      <w:r>
        <w:t>Regeste</w:t>
      </w:r>
    </w:p>
    <w:p>
      <w:r>
        <w:t>PROTECTION DE L'UNION CONJUGALE, OBLIGATION D'ENTRETIEN, REVENU HYPOTHÉTIQUE, TRANSACTION JUDICIAIRE, PRINCIPE DE LA CONFIANCE{INTERPRÉTATION DU CONTRAT} | 176 al. 1 ch. 1 CC, 18 al. 1 CO</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2008 ; RS 272) (Tappy, Les voies de droit du nouveau Code de procédure civile, JT 2010 III 121 ; ATF 137 III 475 c. 4.1), dans les causes non patrimoniales ou dans les affaires patrimoniales dont la valeur litigieuse au dernier état des conclusions est de 10’000 fr. au moins (art. 308 al. 2 CPC).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 RSV 173.01]). En l'espèce, formé en temps utile par une partie qui y a intérêt (art. 59 al. 2 let. a CPC) et portant sur des conclusions qui, capitalisées selon l'art. 92 al. 2 CPC, sont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et les réf.).</w:t>
      </w:r>
    </w:p>
    <w:p>
      <w:r>
        <w:rPr>
          <w:b/>
        </w:rPr>
        <w:t>E. 3</w:t>
      </w:r>
    </w:p>
    <w:p>
      <w:r>
        <w:t>a) L’appelant reproche au premier juge d’avoir examiné la contribution d’entretien due à partir du 1 er octobre 2013 sous l’angle de l’art. 179 CC (Code civil suisse du 10 décembre 1907 ; RS 210), à savoir en fonction d’une modification commandée par un fait nouveau. Il considère qu’il n’était pas nécessaire que les circonstances se soient modifiées pour calculer la nouvelle contribution d’entretien. b) Une fois que des mesures protectrices de l’union conjugale ou des mesures provisionnelles dans la procédure en divorce ont été ordonnées, elles peuvent être modifiées aux conditions de l’art. 179 CC, applicable directement pour les premières et par renvoi de l’art. 276 al. 1 CPC pour les secondes. Aux termes de l’art. 179 al. 1 1 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 TF 5A_183/2010 du 19 avril 2010 c. 3.3.1 ; TF 5A_667/2007 du</w:t>
      </w:r>
    </w:p>
    <w:p>
      <w:r>
        <w:rPr>
          <w:b/>
        </w:rPr>
        <w:t>E. 7</w:t>
      </w:r>
    </w:p>
    <w:p>
      <w:r>
        <w:t>Il s’ensuit que l’appel doit être rejeté et la décision entreprise confirmée. Les frais judiciaires de deuxième instance, arrêtés à 600 fr. (art. 65 al. 2 TFJC [tarif des frais judiciaires civils du 28 septembre 2010 ; RSV 270.11.5]), sont mis à la charge de l'appelant, qui succombe (art. 106 al. 1 CPC). La requête d'assistance judiciaire de l'intimée pour la procédure d’appel est admise, Me Marie-Laure Oppliger Mattenberger étant désignée comme conseil d'office. Selon la liste des opérations produite par celle-ci, les 7 h 50 de travail annoncées apparaissent quelque peu élevées au regard des opérations nécessitées par le traitement de l'appel. Il sera retenu 6 heures de travail. Au tarif horaire de 180 fr. (art. 2 al. 1 let. a RAJ [règlement du 7 décembre 2010 sur l'assistance judiciaire en matière civile ; RSV 211.02.3]), l'indemnité d'honoraires due au conseil de l’intimée doit être arrêtée à 1’080 fr., plus TVA (8 %) de 86 fr. 40, et celle des débours à 23 fr., TVA comprise, ce qui fait un total de 1'189 fr. 40. L'appelant doit verser à l'intimé la somme de 1’300 fr. à titre de dépens de deuxième instance (art. 7 al. 1 TDC [tarif du 23 novembre 2010 des dépens en matière civile ; RSV 270.11.6]). Par ces motifs, la juge déléguée de la Cour d’appel civile du Tribunal cantonal, statuant à huis clos, prononce : I. L’appel est rejeté. II. L’ordonnance est confirmée. III. Les frais judiciaires de deuxième instance de l’appelant A.P.________ sont arrêtés à 600 fr. (six cents francs). IV. Il est fait droit à la demande d’assistance judiciaire déposée par B.P.________ pour la procédure d’appel et Me Marie-Laure Oppliger Mattenberger lui est désignée comme conseil d’office. V. L’indemnité d’office de Me Marie-Laure Oppliger Mattenberger, conseil de l’intimée, est arrêtée à 1'189 fr. 40 (mille cent huitante-neuf francs et quarante centimes), TVA et débours compris. VI. La bénéficiaire de l’assistance judiciaire est, dans la mesure de l’art. 123 CPC, tenue au remboursement de l’indemnité à son conseil d’office mis à la charge de l’Etat. VII. L’appelant A.P.________ doit verser à l’intimée B.P.________ la somme de 1'300 fr. (mille trois cents francs), à titre de dépens de deuxième instance. VIII. L'arrêt motivé est exécutoire. La juge déléguée : La greffière : Du 27 novembre 2013 Le dispositif de l'arrêt qui précède est communiqué par écrit aux intéressés. La greffière : Du L'arrêt qui précède, dont la rédaction a été approuvée à huis clos, est notifié en expédition complète, par l'envoi de photocopies à : ‑ Me Alain Dubuis (pour A.P.________) ‑ Me Marie-Laure Oppliger Mattenberger (pour B.P.________)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