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77 vom 7. Februar 2013</w:t>
      </w:r>
    </w:p>
    <w:p>
      <w:r>
        <w:t>VD Tribunal cantonal, 2013-02-07, FR</w:t>
      </w:r>
    </w:p>
    <w:p>
      <w:r>
        <w:rPr>
          <w:b/>
        </w:rPr>
        <w:t xml:space="preserve">Quelle: </w:t>
      </w:r>
      <w:r>
        <w:t>https://mcp.opencaselaw.ch/entscheid/vd_findinfo_HC___2013___77</w:t>
      </w:r>
    </w:p>
    <w:p>
      <w:r>
        <w:t>FR: VD_FINDINFO HC / 2013 / 77 du 7 février 2013</w:t>
      </w:r>
    </w:p>
    <w:p>
      <w:r>
        <w:t>IT: VD_FINDINFO HC / 2013 / 77 del 7 febbraio 2013</w:t>
      </w:r>
    </w:p>
    <w:p>
      <w:pPr>
        <w:pStyle w:val="Heading2"/>
      </w:pPr>
      <w:r>
        <w:t>Regeste</w:t>
      </w:r>
    </w:p>
    <w:p>
      <w:r>
        <w:t>CONVENTION SUR LES EFFETS ACCESSOIRES DU DIVORCE, ERREUR ESSENTIELLE | 23 CO, 24 al. 1 ch. 4 CO</w:t>
      </w:r>
    </w:p>
    <w:p>
      <w:pPr>
        <w:pStyle w:val="Heading2"/>
      </w:pPr>
      <w:r>
        <w:t>Erwägungen</w:t>
      </w:r>
    </w:p>
    <w:p>
      <w:r>
        <w:rPr>
          <w:b/>
        </w:rPr>
        <w:t>E. 1</w:t>
      </w:r>
    </w:p>
    <w:p>
      <w:r>
        <w:t>L'appel est dirigé contre un jugement de divorce ratifiant la convention sur les effets du divorce passée par les parties. a) L'admissibilité d'un appel contre une transaction judiciaire au sens de l'art. 241 al. 2 CPC (Code de procédure civile suisse du 19 décembre 2008, RS 272) est controversée, au motif que la convention ne constitue pas une décision (cf. Tappy, CPC commenté, 2011, n. 37 ad art. 241 CPC et les réf. citées);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Kommentar zur Schweizerischen Zivilprozessordnung, Zurich 2010 [ci-après: ZPO-Komm.], n. 26 ad art. 279 CPC; Fankhauser, in ZPO-Komm., n. 7 ad art. 289 CPC; Juge délégué CACI 22 novembre 2011/310; Juge délégué CACI 14 mai 2012/227; CACI 19 décembre 2011/417; pour l'ancien droit, cf. CREC II 3 décembre 2008/234). Aussi l'appel est-il recevable contre un jugement ratifiant une convention sur les effets accessoires du divorce, dans les causes patrimoniales pour autant que la valeur litigieuse, au dernier état des conclusions devant l'autorité inférieure, soit de 10'000 fr. au moins (art. 308 al. 1 let. a et al. 2 CPC). b) En l'espèce, l'appelante prétend avoir découvert l'existence d'avoirs bancaires de l'intimé le 14 octobre 2012, soit postérieurement à la notification du jugement du première instance, non encore exécutoire. La voie de l'appel est par conséquent ouverte. Formé en temps utile par une partie qui y a un intérêt, l'appel est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"vollkommenes Rechtsmittel"). Dans le cas particulier, l'appel est possible seulement pour faire vérifier que les conditions pour ratifier la convention des parties étaient réunies. Cela ne limite pas le recourant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cf. infra c. 2b).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279 CPC (cf. Tappy, op. cit., n. 28 ad art. 279 CPC et n. 16 ad art. 289 CPC; sur le tout : Juge délégué CACI 14 mai 2012/227).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Les pièces nouvelles produites en appel sont recevables dans la mesure où elles sont postérieures à l'audience de jugement qui s'est tenue le 6 septembre 2012; ces pièces seront ainsi prises en compte dans la mesure de leur utilité pour l'examen de la cause. Les autres pièces nouvelles, dont il n'est pas démontré qu'elles ne pouvaient être produites devant le tribunal de première instance, sont irrecevables.</w:t>
      </w:r>
    </w:p>
    <w:p>
      <w:r>
        <w:rPr>
          <w:b/>
        </w:rPr>
        <w:t>E. 3</w:t>
      </w:r>
    </w:p>
    <w:p>
      <w:r>
        <w:t>L'appelante conteste, pour vice du consentement, la ratification de la convention intervenue le 4 octobre 2012, plus particulièrement son chiffre V, qui concerne la liquidation du régime matrimonial. a) Aux termes de l'art. 279 al. 1, 1 ère ph.,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[Code civil suisse du 10 décembre 1907, RS 210, dans sa teneur en vigueur jusqu'au 31 décembre 2010], respectivement art. 279 al. 1 CPC) ou d'une impossibilité ou d'une illégalité du partage des prestations de sortie (art. 141 aCC, respectivement art. 280 al. 1 let. b et c CPC; cf. Tappy, op. cit., n. 16 ad art. 289 CPC; CACI 9 juillet 2012/320). Selon l'art. 23 CO (Code des obligations suisse du 30 mars 1911, RS 220), le contrat n'oblige pas celle des parties qui, au moment de le conclure, était dans une erreur essentielle. Ce principe est complété par l'art. 24 CO qui différencie, à l'aide d'exemples, ce qu'il convient d'entendre par "erreur essentielle". Ainsi, au chiffre 4 du premier alinéa de cette disposition, est-il question de l'erreur dite "de base", erreur concernant des faits que la partie victime estime subjectivement comme nécessaires et qui, objectivement, selon la loyauté commerciale, forment un élément essentiel du contrat. Le terme "nécessaire" présuppose que celui qui se prévaut de son erreur s'est trompé sur un fait certain qu'il considérait comme indispensable. Le fait erroné ne doit pas nécessairement être le seul ou le principal motif de la conclusion du contrat;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par motif du contrat, on entend un fait dont la considération a déterminé une personne à conclure un contrat, plus généralement à faire une déclaration de volonté (Engel, Traité des obligations en droit suisse, 2 e éd., Berne 1997, p. 319). De jurisprudence constante, il peut y avoir erreur essentielle sur les motifs lorsqu'une partie a considéré comme certaine la survenance d'un fait futur déterminé, qui ne s'est finalement pas produit; cette erreur est toutefois exclue lorsqu'il n'y a que l'espoir que le fait futur se réalise (ATF 118 II 297 c. 2b, JT 1993 I 399; ATF 109 II 105, JT 1984 I 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 4, JT 1994 I 167; CREC II 14 juillet 2004/633 c. 5b). La transaction judiciaire est un acte consensuel destiné à mettre fin à un litige moyennant des concessions réciproques (ATF 110 Il 44 c. 4; TF 5A_126/2011 du 21 juillet 2011 c. 4.1.1), de sorte que les parties ne peuvent pas invoquer une erreur portant sur les points incertains qu'elles entendaient régler définitivement en transigeant (TF 4A_279/2007 du 15 octobre 2007 c. 4.1); par conséquent, le juge n'admettra pas à la légère l'invalidité d'une transaction, celle-ci se concluant sur la base de concessions réciproques (Schweizer, CPC commenté, n. 38 ad art. 328 CPC). On relèvera par ailleurs, dans ce contexte, que le juge n'est pas tenu de rechercher des vices du consentement cachés (TF 5A_599/2007 du 2 octobre 2008 c. 6.3.1 et la réf. citée; Pichonnaz, in Commentaire romand, Code civil I, Bâle 2010, nn. 47 ss ad art. 140 aCC).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 6.4.1; TF 5C_163/2006 du 3 novembre 2010 c. 4.1; CACI 9 juillet 2012/320). L'art. 279 al. 1 CPC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(cf. Pichonnaz, op. cit., n. 68 ad art. 140 aCC). b) L'appelante invoque un vice du consentement dans le cadre de la négociation et de la signature de la convention sur les effets accessoires du divorce. Elle allègue avoir découvert, le 14 octobre 2012, soit postérieurement au jugement de divorce ratifiant la convention, que son mari lui aurait caché l'existence de plusieurs comptes détenus dans des établissements bancaires en Europe, à savoir la Citibank à Londres, la Banque Verwaltungs et Privat-Bank AG à Vaduz, la Deutsche Bank à Frankfort et le Crédit Suisse à Zurich, les comptes bancaires détenus en Espagne et au Portugal étant connus de l'appelante. Cette dernière fait ainsi valoir qu'elle avait une connaissance partielle des avoirs globaux de l'intimé, dont dépendait la liquidation du régime matrimonial faisant l'objet du chiffre V de la convention, et demande en conséquence l'invalidation dudit chiffre. Si le jugement entrepris ne fait pas état de l'ensemble des comptes de l'intimé, il indique néanmoins que "l'intimé dispose d'avoirs bancaires", ce qui laisse ouvert le champ des possibilités. Il n'est en outre pas anodin de relever que, dans sa requête de mesures protectrices, l'appelante fait état d'autres comptes bancaires que ceux nommément mentionnés dans la requête commune en divorce et repris dans le jugement de divorce entrepris. Il s'agit notamment de la Banque Millennium au Portugal (11'729.09 euros) et de la Banque Espirito Santo (50'681.65 euros). Par ailleurs, ledit jugement ne contient aucun élément sur l'état de fortune de l'appelante lors même qu'il ressort de la pièce 105 produite par l'intimé dans le cadre des mesures provisionnelles, qui est postérieure à l'audience de jugement et donc recevable (art. 317 CPC), que l'appelante détenait également des avoirs en banque, et l'intimé ne prétend pas qu'il ignorait l'état de fortune de son épouse. Ces éléments tendent à démontrer que les parties connaissaient quelle était la situation financière de l'autre au moment de la signature de la convention. A tout le moins, rien n'indique que tel n'était pas le cas. L'appelante se réfère à une transaction faite par l'intimé auprès de la Citybank à Londres le 3 septembre 2012 et de la Deutsche Bank à Frankfort le 5 septembre 2012, telle qu'apparaissant sur deux relevés de compte de la Banque Espirito Santo (pièces 3 et 6). Or, en sa qualité de cotitulaire du compte ouvert auprès de la Banque Espirito Santo jusqu'au 19 octobre 2012 (pièce 103), l'appelante avait accès à ce compte et aurait donc pu produire, avant l'audience de jugement, les extraits auxquels elle se réfère. Ces pièces sont irrecevables, dans la mesure où l'appelante n'établit pas que les conditions prévues à l'art. 317 CPC sont établies. L'appelante a produit des pièces qui auraient été découvertes postérieurement à l'audience de jugement, savoir une facture de Swisscom (pièce 5), datée d'août 2012, qui fait mention d'un contact de l'intimé avec une banque au Liechtenstein, ainsi que l'extrait de compte de la Banque Espirito Santo du 10 septembre 2012, qui indique un transfert de liquidités du Crédit Suisse SA à Zurich vers la banque prénommée, à concurrence de 28'798.37 euros (pièce 7). Force est de constater que ces éléments ne permettent pas d'établir que l'appelante ignorait que son mari détenait ou pouvait détenir des fonds dans ces banques. A supposer que tel soit le cas, l'appelante n'allègue pas, et encore moins ne démontre, une iniquité manifeste de la convention sur la question de la liquidation du régime matrimonial en lien avec les avoirs détenus, ou potentiellement détenus, auprès de ces établissements bancaires. On ne perçoit du reste aucune iniquité sur cette question, aucune disproportion entre les prestations des parties n'apparaissant comme évidente. Ce ne sont en effet pas les sommes d'argent alléguées par l'appelante comme étant détenues par l'intimé sur plusieurs comptes bancaires en Europe – dans la mesure seulement où l'on peut en tenir compte, au sens de l'art. 317 CPC – qui permettraient, sur le vu de l'ensemble des éléments de fortune des parties, de rendre inéquitable la convention. En conclusion, les griefs de l'appelante doivent être rejetés.</w:t>
      </w:r>
    </w:p>
    <w:p>
      <w:r>
        <w:rPr>
          <w:b/>
        </w:rPr>
        <w:t>E. 4</w:t>
      </w:r>
    </w:p>
    <w:p>
      <w:r>
        <w:t>Au vu de ce qui précède, l'appel doit être rejeté et le jugement entrepris confirmé. Les frais judiciaires de deuxième instance, arrêtés à 600 fr. (art. 63 al. 1 TFJC [tarif des frais judiciaires du 28 septembre 2010, RSV 270.11.5]), sont mis à la charge de l'appelante qui succombe (art. 106 al. 1 CPC). L'appelante, qui succombe, doit verser des dépens de deuxième instance à l'intimé, lesquels peuvent être fixés à 1'800 fr. (art. 7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