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76 vom 21. Januar 2013</w:t>
      </w:r>
    </w:p>
    <w:p>
      <w:r>
        <w:t>VD Tribunal cantonal, 2013-01-21, FR</w:t>
      </w:r>
    </w:p>
    <w:p>
      <w:r>
        <w:rPr>
          <w:b/>
        </w:rPr>
        <w:t xml:space="preserve">Quelle: </w:t>
      </w:r>
      <w:r>
        <w:t>https://mcp.opencaselaw.ch/entscheid/vd_findinfo_HC___2013___76</w:t>
      </w:r>
    </w:p>
    <w:p>
      <w:r>
        <w:t>FR: VD_FINDINFO HC / 2013 / 76 du 21 janvier 2013</w:t>
      </w:r>
    </w:p>
    <w:p>
      <w:r>
        <w:t>IT: VD_FINDINFO HC / 2013 / 76 del 21 gennaio 2013</w:t>
      </w:r>
    </w:p>
    <w:p>
      <w:pPr>
        <w:pStyle w:val="Heading2"/>
      </w:pPr>
      <w:r>
        <w:t>Regeste</w:t>
      </w:r>
    </w:p>
    <w:p>
      <w:r>
        <w:t>ASSISTANCE JUDICIAIRE, ÉTENDUE{EN GÉNÉRAL}, EXPERTISE, PREUVE À FUTUR | 117 CPC (CH), 118 CPC (CH)</w:t>
      </w:r>
    </w:p>
    <w:p>
      <w:pPr>
        <w:pStyle w:val="Heading2"/>
      </w:pPr>
      <w:r>
        <w:t>Erwägungen</w:t>
      </w:r>
    </w:p>
    <w:p>
      <w:r>
        <w:rPr>
          <w:b/>
        </w:rPr>
        <w:t>E. 1</w:t>
      </w:r>
    </w:p>
    <w:p>
      <w:r>
        <w:t>La décision dont est recours a été rendue par un président de tribunal d'arrondissement ayant statué sur une requête d'assistance judiciaire en application de l'art. 39 al. 2 CDPJ, en procédure sommaire (art. 119 al. 3 CPC [Code de procédure civile du 19 décembre 2008; RS 272]). L'art. 319 al. 1 let. b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Motivé et déposé en temps utile par une personne qui y a un intérêt, le recours est ainsi recevable.</w:t>
      </w:r>
    </w:p>
    <w:p>
      <w:r>
        <w:rPr>
          <w:b/>
        </w:rPr>
        <w:t>E. 2</w:t>
      </w:r>
    </w:p>
    <w:p>
      <w:r>
        <w:t>Le recours peut être formé pour violation du droit et constatation manifestement inexacte des faits (art. 320 CPC). L'autorité de recours dispose d'un plein pouvoir d'examen s'agissant de la violation du droit (Spühler, BSK ZPO,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se plaint d’une violation du droit et de constatation manifestement inexacte des faits. Elle relève avoir obtenu l’assistance judiciaire le 5 juillet 2011 dans le cadre d’un partage successoral à intervenir. Une solution transactionnelle étant alors envisagée et une expertise immobilière lui paraissant nécessaire pour aboutir à dite solution, elle a confié cette expertise à la société [...] SA. Elle indique également avoir préalablement interpellé le premier juge pour requérir la couverture par l’assistance judiciaire des frais d’expertise par courrier du 7 février 2012 et s’être fiée à la réponse que lui a faite le "Bureau AJ" du Tribunal d’arrondissement le 8 février 2012, lequel lui écrivait que, depuis l’entrée en vigueur de la nouvelle procédure, il n’y a plus de demandes d’assistance judiciaire complémentaire et que "la décision de base couvre toutes les opérations (y compris les expertises)". Elle considère qu’au vu de ces circonstances, elle pouvait légitimement comprendre de cette réponse que les frais d’expertise dont il était question dans l’échange d’écritures susmentionné seraient pris en charge par l’assistance judiciaire. La recourante reproche en outre au premier juge d’avoir considéré qu'elle aurait dû déposer une requête de preuve à futur devant le Juge de paix, autorité compétente en application de l’art. 44a CDPJ, alors que, selon elle, les conditions d’admission d’une telle requête n’étaient en l’espèce pas réunies (cf. art. 158 al. 1 let. b CPC). b)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RS 101). L’objet du présent recours ne porte toutefois pas sur les conditions d’octroi de l'assistance judiciaire telles que rappelées ci-dessus — réalisées en l’espèce puisque la recourante avait obtenu l’assistance judiciaire par décision du 5 juillet 2011 — mais sur l’étendue de l’assistance judiciaire. En vertu de l’art. 118 CPC, l’assistance judiciaire comprend l’exonération d’avances et de sûretés (let.a), l’exonération des frais judiciaires (let. b) et la commission d’office d’un conseil juridique par le tribunal lorsque la défense des droits du requérant l’exige, en particulier lorsque la partie adverse est assistée d’un avocat; l’assistance d’un conseil juridique peut déjà être accordée pour la préparation d’un procès (let. c). S’agissant des frais judiciaires dont est exonéré le bénéficiaire il s’agit de tous les émoluments, frais d’administration des preuves et autres frais au sens de l’art. 95 al. 2 CPC (Tappy, CPC commenté, Bâle 2011, n. 8 ad art. 118 CPC). Par frais d’administration des preuves, il faut entendre à l’évidence ceux qui concernent les preuves ordonnées par le tribunal (cf. art. 102 CPC) et non ceux découlant de démarches privées initiées avant ou hors procès. Quant à la preuve à futur, elle relève, s’agissant d’une expertise hors procès, de la compétence du Juge de paix (art. 158 CPC et 44a al. 1 CDPJ). Enfin, il faut relever que le législateur a certes prévu que l’assistance judiciaire peut éventuellement être envisagée déjà pour la préparation d’un procès, mais qu’elle est alors limitée à l’assistance d’un conseil juridique (Tappy, op. cit., n. 22 ad art. 118 CPC). c) En l’espèce, l’expertise dont la recourante demande la prise en charge par l’assistance judiciaire est clairement une expertise privée. Les frais d’une telle démarche ne sont à l’évidence pas couverts par l’art. 118 CPC. Assistée d’un mandataire professionnel, la recourante ne peut se prévaloir de la réponse certes ambiguë donnée le 8 février 2012 par le responsable de l'assistance judiciaire du tribunal concerné, mais qui se référait manifestement à une expertise judiciaire et non privée. La recourante aurait dû soit requérir du Juge de paix à titre de preuve à futur une expertise hors procès et demander l’assistance judiciaire pour cette démarche, soit ouvrir action en partage par le dépôt d’une requête de conciliation devant le juge du partage (ce qu’elle a fait ultérieurement) puis requérir une expertise judiciaire, plutôt que de commencer par mettre en oeuvre une expertise privée, laquelle est à l’évidence exclue de l’étendue de l’assistance judiciaire telle que définie à l’art. 118 CPC. Les moyens soulevés sont donc mal fondés et doivent être écartés.</w:t>
      </w:r>
    </w:p>
    <w:p>
      <w:r>
        <w:rPr>
          <w:b/>
        </w:rPr>
        <w:t>E. 4</w:t>
      </w:r>
    </w:p>
    <w:p>
      <w:r>
        <w:t>Au vu de ce qui précède, la demande d’assistance judiciaire déposée pour la procédure de deuxième instance doit être rejetée (art. 117 let. b CPC).</w:t>
      </w:r>
    </w:p>
    <w:p>
      <w:r>
        <w:rPr>
          <w:b/>
        </w:rPr>
        <w:t>E. 5</w:t>
      </w:r>
    </w:p>
    <w:p>
      <w:r>
        <w:t>En conclusion, le recours doit être rejeté en application de l'art. 322 al. 1 CPC et la décision confirmée. La procédure de recours contre une décision retirant ou refusant l’assistance judiciaire n’étant pas gratuite (ATF 137 I 470), il y a lieu d’arrêter les frais judiciaires de deuxième instance à 100 fr. (art. 69 al. 1 TFJC) et de mettre ceux-ci à la charge de la recourante qui succombe (art. 106 al. 1 CPC). Aucune détermination n’ayant été demandée sur le recours, il n’y a pas matière à l’allocation de dépens de deuxième instance. Par ces motifs, la Chambre des recours civile du Tribunal cantonal, statuant à huis clos, en application de l'art. 322 al. 1 CPC, prononce : I. Le recours est rejeté. II. Le prononcé est confirmé. III. La demande d'assistance judiciaire déposée par A.G.________, est rejetée. IV. Les frais judiciaires de deuxième instance, arrêtés à 100 fr. (cent francs), sont mis à la charge de la recourante A.G.________. V. L'arrêt motivé est exécutoire. Le président :               Le greffier : Du 22 janvier 2013 Le dispositif de l'arrêt qui précède est communiqué par écrit aux intéressés. Le greffier : Du L'arrêt qui précède, dont la rédaction a été approuvée à huis clos, est notifié en expédition complète, par l'envoi de photocopies, à : ‑ Me Irène Schmidlin (pour A.G.________). La Chambre des recours civile considère que la valeur litigieuse est de 3'670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