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758 vom 29. Oktober 2013</w:t>
      </w:r>
    </w:p>
    <w:p>
      <w:r>
        <w:t>VD Tribunal cantonal, 2013-10-29, FR</w:t>
      </w:r>
    </w:p>
    <w:p>
      <w:r>
        <w:rPr>
          <w:b/>
        </w:rPr>
        <w:t xml:space="preserve">Quelle: </w:t>
      </w:r>
      <w:r>
        <w:t>https://mcp.opencaselaw.ch/entscheid/vd_findinfo_HC___2013___758</w:t>
      </w:r>
    </w:p>
    <w:p>
      <w:r>
        <w:t>FR: VD_FINDINFO HC / 2013 / 758 du 29 octobre 2013</w:t>
      </w:r>
    </w:p>
    <w:p>
      <w:r>
        <w:t>IT: VD_FINDINFO HC / 2013 / 758 del 29 ottobre 2013</w:t>
      </w:r>
    </w:p>
    <w:p>
      <w:pPr>
        <w:pStyle w:val="Heading2"/>
      </w:pPr>
      <w:r>
        <w:t>Regeste</w:t>
      </w:r>
    </w:p>
    <w:p>
      <w:r>
        <w:t>MESURE PROVISIONNELLE, CONJOINT, ENFANT, DIVORCE, MODIFICATION DES CIRCONSTANCES, OBLIGATION D'ENTRETIEN, NOVA, NOUVEAU MOYEN DE FAIT | 179 al. 1 CC, 317 al. 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l'instance précédente,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L’appelant soutient que le contrat de travail signé le 26 avril 2013 ne pouvait être invoqué durant la procédure d’appel en qualité de fait nouveau. Il fait valoir que le juge d’appel n’ayant ordonné ni débats ni deuxième échange d’écritures, il pouvait penser que l’instruction avait pris fin à l’issue du premier échange d’écritures, soit dès le dépôt de sa réponse le 22 mars 2013, de sorte que le contrat en question, postérieur à cette date ne pouvait plus être produit. Il estime que cette circonstance constitue ainsi un fait nouveau que le premier juge aurait dû prendre en considération dans le cadre de l’examen de sa requête de mesures provisionnelles en modification de la contribution d’entretien arrêtée par le juge d’appel.</w:t>
      </w:r>
    </w:p>
    <w:p>
      <w:r>
        <w:rPr>
          <w:b/>
        </w:rPr>
        <w:t>E. 3.1.1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De manière générale, l’art. 317 al. 1 CPC exige que les novas tant proprement dits qu’improprement dits soient invoqués sans retard. Cette condition n’implique pas de délai fixe mais laisse une certaine marge d’appréciation au juge. La partie à l’instance d’appel qui entend se prévaloir des faits ou moyens de preuve nouveaux doit ainsi le faire dès que possible ; à supposer que la connaissance des faits survienne postérieurement aux échanges d’écritures, il incombe à la partie concernée d’intervenir auprès de l’instance d’appel au plus vite (cf. Jeandin, CPC commenté , n. 7 ad art. 317 CPC). Contrairement à l’art. 229 CPC qui réglemente l’invocation de faits et moyens de preuve nouveaux au cours des débats principaux de première instance, l’art. 317 CPC ne précise pas jusqu’à quand des novas, invoqués sans retard au sens de l’art. 317 al. 1 CPC, peuvent être introduits au cours de la procédure d’appel. Les conditions restrictives posées par l’art. 317 al. 1 CPC pour l’introduction de faits ou de moyens de preuve nouveaux s’appliquent de même au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La maxime inquisitoire ne dispense cependant pas les parties de collaborer activement à la procédure et il leur incombe de renseigner le juge sur les faits de la cause et de lui indiquer les moyens de preuve disponibles (ATF 130 III 102, c. 2.2 ; Haldy, CPC Commenté, n. 7 ad art. 55 CPC).</w:t>
      </w:r>
    </w:p>
    <w:p>
      <w:r>
        <w:rPr>
          <w:b/>
        </w:rPr>
        <w:t>E. 3.1.2</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w:t>
      </w:r>
    </w:p>
    <w:p>
      <w:r>
        <w:rPr>
          <w:b/>
        </w:rPr>
        <w:t>E. 3.2</w:t>
      </w:r>
    </w:p>
    <w:p>
      <w:r>
        <w:t>Le premier juge a considéré que l’appelant aurait dû annoncer sans retard les faits nouveaux résultant de son engagement dès le 1 er mai 2013 par la société [...] SA et qu’en ne produisant pas le contrat de travail signé le 26 avril 2013, alors même que la cause était encore pendante devant la Cour d’appel civile du Tribunal cantonal, l’appelant s’est privé de la possibilité de s’en prévaloir ultérieurement dans le cadre d’une procédure en modification des mesures ordonnées. En l’occurrence, il apparaît que l’appelant a signé le contrat de travail dont il se prévaut près d’un mois avant que la Cour d’appel civile ne tranche l’appel sur lequel il a été requis de se déterminer et deux mois avant que l’arrêt directement motivé ne soit notifié aux parties. Rien n’empêchait dès lors l’appelant, compte tenu des réquisits de l’art. 317 al. 1 CPC, d’annoncer à l’autorité d’appel sa nouvelle situation, les parties ayant au surplus le devoir, même lorsque la maxime inquisitoire est applicable, de collaborer activement à la procédure, notamment en renseignant le juge sur les faits de la cause et en lui indiquant les moyens de preuve disponibles. A supposer que l’appelant ait oublié ou négligé d’annoncer son nouvel emploi, le courrier de la partie adverse du 21 mai 2013, requérant de la Cour d’appel civile qu’une décision soit prochainement notifiée, aurait dû l’inciter à réagir et à produire sans tarder le contrat de travail en question. Le fait que les circonstances nouvelles soient survenues après l’échange d’écritures préalable n’est pas déterminant, l’art. 317 al. 1 CPC ne limitant pas l’invocation de novas en appel à ce stade de l’instruction et le juge d’appel disposant à cet égard d’une grande liberté de manœuvre pour fixer la conduite des opérations à l’issue de cet échange d’écritures (Jeandin, CPC annoté, n. 1 ad art. 316 CPC). L’intimée ne s’y est d’ailleurs pas trompée, elle qui a encore tenté de compléter son appel le 14 juin 2013. En définitive, c’est à bon droit que le premier juge a considéré que l’engagement, dès le 1 er mai 2013 par contrat de travail du 26 avril précédent, de l’appelant par la société [...] SA ne constituait pas un fait nouveau susceptible de justifier une modification de la contribution d’entretien fixée le 29 mai 2013 par la Juge déléguée de la Cour d’appel civile. La partie qui a omis, sciemment ou par négligence, d’annoncer les circonstances nouvelles conformément à l’art. 317 al. 1 CPC, et qui se trouve ainsi déchue du droit de s’en prévaloir en procédure d’appel, ne saurait les invoquer ultérieurement dans le cadre de la procédure en modification de mesures  provisionnelles prévue par l’art. 179 CC. En l’occurrence, le juge d’appel a rendu sa décision le 29 mai 2013, de sorte le premier juge n’avait pas à prendre en compte le nouvel emploi de l’appelant à partir du 1 er mai 2013. Vu le sort réservé aux circonstances nouvelles dont l’appelant entend se prévaloir, il n’ y a pas lieu de revenir sur les charges incompressibles de l’appelant, les frais inhérents à l’exercice de sa nouvelle activité professionnelle n’ayant pas à être pris en considération. Au surplus, il n’y a pas davantage lieu de revenir sur les frais liés à l’exercice de son droit de visite, l’appelant n’invoquant à cet égard aucun changement notable de sa situation.</w:t>
      </w:r>
    </w:p>
    <w:p>
      <w:r>
        <w:rPr>
          <w:b/>
        </w:rPr>
        <w:t>E. 4</w:t>
      </w:r>
    </w:p>
    <w:p>
      <w:r>
        <w:t>Au vu de ce qui précède, l’appel doit être rejeté dans la procédure de l’art. 312 al. 1 CPC et le prononcé querellé confirmé. L’appel étant d’emblée dépourvu de toute chance de succès, la requête d’assistance judiciaire de l’appelant doit être rejetée (art. 117 let. b CPC). Les frais judiciaires de deuxième instance, arrêtés à 600 fr. (art. 63 al. 1 et 65 al 2 TFJC [tarif des frais judiciaires civils du 28 septembre 2010 ; RSV 270.11.5]), sont mis à la charge de l’appelant qui succombe (art. 106 CPC). Il n’y a pas lieu à l’allocation de dépens de deuxième instance, l’intimée n’ayant pas été invitée à se déterminer. Par ces motifs, la juge déléguée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A.Z.________. IV. L’arrêt est exécutoire. La juge déléguée : Le greffier : Du L'arrêt qui précède, dont la rédaction a été approuvée à huis clos, est notifié en expédition complète, par l'envoi de photocopies, à : ‑ Me Lise-Marie Gonzalez Pennec (pour A.Z.________), ‑ Me Alain Ribordy (pour B.Z.________).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