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757 vom 21. November 2013</w:t>
      </w:r>
    </w:p>
    <w:p>
      <w:r>
        <w:t>VD Tribunal cantonal, 2013-11-21, FR</w:t>
      </w:r>
    </w:p>
    <w:p>
      <w:r>
        <w:rPr>
          <w:b/>
        </w:rPr>
        <w:t xml:space="preserve">Quelle: </w:t>
      </w:r>
      <w:r>
        <w:t>https://mcp.opencaselaw.ch/entscheid/vd_findinfo_HC___2013___757</w:t>
      </w:r>
    </w:p>
    <w:p>
      <w:r>
        <w:t>FR: VD_FINDINFO HC / 2013 / 757 du 21 novembre 2013</w:t>
      </w:r>
    </w:p>
    <w:p>
      <w:r>
        <w:t>IT: VD_FINDINFO HC / 2013 / 757 del 21 novembre 2013</w:t>
      </w:r>
    </w:p>
    <w:p>
      <w:pPr>
        <w:pStyle w:val="Heading2"/>
      </w:pPr>
      <w:r>
        <w:t>Regeste</w:t>
      </w:r>
    </w:p>
    <w:p>
      <w:r>
        <w:t>MESURE DE CONTRAINTE{DROIT DES ÉTRANGERS}, DÉTENTION AUX FINS D'EXPULSION, RISQUE DE FUITE, FAMILLE | 76 al. 1 let. b ch. 3 LEtr, 76 al. 1 let. b ch. 4 LEtr, 80 al. 4 LEtr</w:t>
      </w:r>
    </w:p>
    <w:p>
      <w:pPr>
        <w:pStyle w:val="Heading2"/>
      </w:pPr>
      <w:r>
        <w:t>Erwägungen</w:t>
      </w:r>
    </w:p>
    <w:p>
      <w:r>
        <w:rPr>
          <w:b/>
        </w:rPr>
        <w:t>E. 1</w:t>
      </w:r>
    </w:p>
    <w:p>
      <w:r>
        <w:t>Le recours au Tribunal cantonal est ouvert contre la décision du juge de paix ordonnant la détention administrative (art. 80 al. 1 LEtr [loi fédérale du 16 décembre 2005 sur les étrangers; RS 142.20];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1 er novembre 2013, soit dans les vingt-quatre heures dès le moment où le recourant a été arrêté (art. 16 al. 1 LVLEtr). Il a immédiatement rendu un ordre de détention, puis sa décision motivée le même jour,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w:t>
      </w:r>
    </w:p>
    <w:p>
      <w:r>
        <w:rPr>
          <w:b/>
        </w:rPr>
        <w:t>E. 4</w:t>
      </w:r>
    </w:p>
    <w:p>
      <w:r>
        <w:t>Le recourant fait valoir qu’il entreprend actuellement des démarches pour reconnaître son enfant, né le 1 er octobre 2012, et que la détention qui lui est infligée l’empêche de poursuivre ces démarches. Il relève que le simple fait de séjourner illégalement en Suisse n’est pas un motif de détention administrative et qu’il possède un passeport valide.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Il est nécessaire qu’existent des éléments concrets en ce sens (TF 2C_478/2012 du 14 juin 2012 c. 2.2 ; TF 2C_413/2012 du 22 mai 2012 c. 3.2 in fine ; TF 2C_675/2011 du 20 septembre 2011 c. 2.1). A cet égard, on peut se satisfaire d’un faisceau d’indices de soustraction au renvoi (ATF 129 I 139 c. 4.2.1 ; ATF 130 II 56 c. 3.1 ; ATF 125 II 369 c. 3b/aa ; ATF 122 II 49, rés. in JT 1998 I 95). En l’espèce, il y a lieu de considérer que le recourant a disparu dès le mois de novembre 2011, puisqu’il n’avait plus d’adresse valable et ne s’est plus manifesté auprès du SPOP. Il ressort de ses déclarations à la police, lors de son interpellation du 31 octobre 2013 qu’il est sans ressources et sans domicile fixe. Ces éléments constituent des indices attestant un risque de fuite et d’une volonté de se soustraire au renvoi. En outre, ses démarches juridiques, entreprises à chaque fois peu de temps avant les rendez-vous destinés à organiser son départ, le manque de suivi de celles-ci et ses déclarations à l’audience témoignent qu’il n’est pas disposé à retourner dans son pays d’origine. Au vu de ces circonstances, il y a lieu de considérer que les conditions posées par l’art. 76 al. 1 let. b ch. 3 et 4 LEtr sont réalisées. b)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 cause le renvoi lui-même, mais seulement faire obstacle à la détention en raison des conditions familiales de la personne détenue (TF 2C_206/2009 du 29 avril 2009 c. 4.4; TF 2C_351/2009 du 30 juin 2009 c. 4; Hugi Yar, Zwangsmassnahmen im Ausländerrecht, 2009, n° 10.144, p. 494).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référence). En l’espèce, selon ses déclarations, l’enfant du recourant est née le 1 er octobre 2012 et à ce jour, le recourant n’établit pas qu’une procédure de reconnaissance de paternité serait en cours. Le fait que le recourant entende reconnaître aujourd’hui l’enfant ne constitue pas un motif s’opposant à la détention, vu l’écoulement du temps depuis la naissance de celui-ci et la possibilité pour le recourant d’entreprendre ces démarches auparavant. Pour le surplus l’octroi ou non d’une autorisation de séjour en raison de cette paternité ne relève pas de la compétence du juge de la détention, mais de celle du renvoi.</w:t>
      </w:r>
    </w:p>
    <w:p>
      <w:r>
        <w:rPr>
          <w:b/>
        </w:rPr>
        <w:t>E. 5</w:t>
      </w:r>
    </w:p>
    <w:p>
      <w:r>
        <w:t>En conclusion, le recours doit être rejeté et l’ordonnance confirmée. Le présent arrêt peut être rendu sans frais.</w:t>
      </w:r>
    </w:p>
    <w:p>
      <w:r>
        <w:rPr>
          <w:b/>
        </w:rPr>
        <w:t>E. 6</w:t>
      </w:r>
    </w:p>
    <w:p>
      <w:r>
        <w:t>Le conseil d'office du recourant a déposé une liste de ses opérations, dont il ressort qu'il a consacré 9 heures 30 au dossier. Au vu des éléments du dossier, le temps nécessaire à l'accomplissement du mandat d'office doit être fixé à 7 h 30, compte tenu du fait que les frais de vacation sont indemnisés forfaitairement à concurrence de 120 francs. Au tarif horaire de 180 fr. (art. 135 al. 1 CPP [Code de procédure pénale suisse du 5 octobre 2007; RS 312]; ATF 132 I 201; CAPE 22 mars 2012/89, applicables par renvoi de l'art. 25 al. 1 LVLEtr), l'indemnité d'office de Me Stéphane Ducret doit être arrêtée à 1'350 fr., plus 108 fr. de TVA, montant auquel s’ajoute les frais de vacation, par 120 fr. plus 9 fr. 60 de TVA, soit une indemnité totale de 1'587 fr. 60. Par ces motifs, la Chambre des recours civile du Tribunal cantonal, statuant à huis clos, prononce : I. Le recours est rejeté. II. L’ordonnance est confirmée. III. L’arrêt est rendu sans frais. IV. L’indemnité d’office de Me Stéphane Ducret est arrêtée à 1'587 fr. 60 (mille cinq cent huitante-sept francs et soixante centimes), débours et TVA compris. V. L’arrêt motivé est exécutoire. Le président :               Le greffier : Du 22 novembre 2013 Le dispositif de l'arrêt qui précède est communiqué par écrit aux intéressés. Le greffier : Du L'arrêt qui précède, dont la rédaction a été approuvée à huis clos, est notifié en expédition complète, par l'envoi de photocopies, à : ‑ Me Stéphane Ducret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