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751 vom 18. November 2013</w:t>
      </w:r>
    </w:p>
    <w:p>
      <w:r>
        <w:t>VD Tribunal cantonal, 2013-11-18, FR</w:t>
      </w:r>
    </w:p>
    <w:p>
      <w:r>
        <w:rPr>
          <w:b/>
        </w:rPr>
        <w:t xml:space="preserve">Quelle: </w:t>
      </w:r>
      <w:r>
        <w:t>https://mcp.opencaselaw.ch/entscheid/vd_findinfo_HC___2013___751</w:t>
      </w:r>
    </w:p>
    <w:p>
      <w:r>
        <w:t>FR: VD_FINDINFO HC / 2013 / 751 du 18 novembre 2013</w:t>
      </w:r>
    </w:p>
    <w:p>
      <w:r>
        <w:t>IT: VD_FINDINFO HC / 2013 / 751 del 18 novembre 2013</w:t>
      </w:r>
    </w:p>
    <w:p>
      <w:pPr>
        <w:pStyle w:val="Heading2"/>
      </w:pPr>
      <w:r>
        <w:t>Regeste</w:t>
      </w:r>
    </w:p>
    <w:p>
      <w:r>
        <w:t>ASSISTANCE JUDICIAIRE, DÉNUEMENT, PERSONNE À L'ASSISTANCE | 117 CPC (CH), 119 al. 6 CPC (CH), 319 let. b CPC (CH), 334 al. 1 CPC (CH)</w:t>
      </w:r>
    </w:p>
    <w:p>
      <w:pPr>
        <w:pStyle w:val="Heading2"/>
      </w:pPr>
      <w:r>
        <w:t>Erwägungen</w:t>
      </w:r>
    </w:p>
    <w:p>
      <w:r>
        <w:rPr>
          <w:b/>
        </w:rPr>
        <w:t>E. 1</w:t>
      </w:r>
    </w:p>
    <w:p>
      <w:r>
        <w:t>La décision dont est recours a été rendue par un président de la Commission de conciliation en matière de baux à loyer, statuant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une partie qui y a intérêt (art. 59 al.</w:t>
      </w:r>
    </w:p>
    <w:p>
      <w:r>
        <w:rPr>
          <w:b/>
        </w:rPr>
        <w:t>E. 2</w:t>
      </w:r>
    </w:p>
    <w:p>
      <w:r>
        <w:t>Le recours peut être formé pour violation du droit et constatation manifestement inexacte des faits (art. 320 CPC). L'autorité de recours dispose d'un plein pouvoir d'examen s'agissant de la violation du droit (Spühler, BSK ZPO,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La recourante fait valoir qu’il ressort des pièces produites à l’appui de sa requête d’assistance judiciaire qu’elle-même et ses deux enfants mineurs sont au bénéfice du revenu d’insertion et que, dès lors, il y a lieu de considérer qu’elle est indigente.</w:t>
      </w:r>
    </w:p>
    <w:p>
      <w:r>
        <w:rPr>
          <w:b/>
        </w:rPr>
        <w:t>E. 3.2</w:t>
      </w:r>
    </w:p>
    <w:p>
      <w:r>
        <w:t>En vertu de l'art. 117 CPC ,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celles du minimum vital du droit des poursuites en ce sens qu'il n'avait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Rüegg, Basler Kommentar, Schweizerischen Zivilprozessordnug, n. 12 ad. art 117; Emmel, Kommentar zur Schweizerischenprozessordnung (ZPO), n. 10 ad art. 117). On tiendra en outre  compte des charges de loyer, des primes d'assurance obligatoires ou usuelles ainsi que de la charge fiscale, pour autant que ces sommes soient plus ou moins régulièrement payées (Corboz, ibid.).</w:t>
      </w:r>
    </w:p>
    <w:p>
      <w:r>
        <w:rPr>
          <w:b/>
        </w:rPr>
        <w:t>E. 3.3</w:t>
      </w:r>
    </w:p>
    <w:p>
      <w:r>
        <w:t>En l’espèce, l’attestation du CSR du 10 janvier 2013 est postérieure au soupçon émis par celui-ci de falsification du contrat de bail, ce qui tend à démontrer que cet élément de fait n’a pas eu d’incidence sur l’octroi de l’aide sociale. Il y a donc bien lieu de considérer que la recourante est indigente, cet état de fait étant d’ailleurs confirmé par le contenu de la décision de taxation concernant l’impôt sur le revenu et la fortune 2012, du 20 juin 2013.</w:t>
      </w:r>
    </w:p>
    <w:p>
      <w:r>
        <w:rPr>
          <w:b/>
        </w:rPr>
        <w:t>E. 4</w:t>
      </w:r>
    </w:p>
    <w:p>
      <w:r>
        <w:t>La recourante conteste par ailleurs que la cause était d’emblée dénuée de chance de succès. A juste titre, puisque le motif du congé contesté, à savoir la falsification des baux à loyer, fait l’objet d’une procédure pendante devant le Tribunal de police et que le premier juge ne pouvait dès lors savoir si le motif invoqué était (ou non) contraire au principe de la bonne foi – comme allégué par la recourante. Les parties au litige ont du reste mis fin au litige par le biais d’une convention, ce qui peut laisser penser que la demande n’était pas totalement infondée.</w:t>
      </w:r>
    </w:p>
    <w:p>
      <w:r>
        <w:rPr>
          <w:b/>
        </w:rPr>
        <w:t>E. 5</w:t>
      </w:r>
    </w:p>
    <w:p>
      <w:r>
        <w:t>En définitive, il apparaît que le premier juge ne pouvait pas refuser à la recourante le bénéfice de l’assistance judiciaire. Il s’ensuit que la requête d’assistance judiciaire est admise, Me Nicolas Mattenberger étant désigné comme conseil d’office de M.________ pour la procédure devant la Commission de conciliation en matière de baux à loyer du district d’Aigle et devant être rémunéré équitablement pour les opérations nécessaires à son mandat. Vu la liste des opérations établie par celui-ci le 19 septembre 2011, une indemnité d’office à hauteur de 817 fr. 70 lui est accordée selon le décompte suivant : 651 fr. 70 d’honoraires, 105 fr. 50 de débours et 60 fr. 50 de TVA au taux de 8% (art. 2 al. 4 RAJ [règlement sur l’assistance judiciaire en matière civile du 7 décembre 2010 ; RSV 211.02.3] et 42 CDPJ. Les frais judiciaires de deuxième instance, arrêtés à 100 fr. (art. 100 al. 3 TFJC [tarif des frais judiciaires civils du 28 septembre 2010 ; RSV 270.11.5]), sont laissés à la charge de l’Etat. La bénéficiaire de l’assistance judiciaire est, dans la mesure de l’art. 123 CPC, tenue au remboursement de l’indemnité au conseil d’office mis à la charge de l’Etat. Il n’y a pas lieu d’aller de dépens à la recourante, le Président de la Commission de conciliation en matière de baux à loyer n’ayant pas la qualité de partie, mais d’autorité de première instance. Par ces motifs, la Chambre des recours civile du Tribunal cantonal, statuant à huis clos, en application de l'art. 322 al. 1 CPC, prononce : I. Le recours est admis. II. La décision est réformée comme il suit : I. La requête d’assistance judiciaire est admise, Me Nicolas Mattenberger étant désigné comme conseil d’office de M.________ pour la procédure devant la Commission de conciliation en matière de baux à loyer du district d’Aigle. II. L’indemnité de Me Nicolas Mattenberger, conseil d’office de M.________, est fixée à 817 fr. 70 (huit cent dix-sept francs et septante centimes), TVA comprise, pour la procédure devant la Commission de conciliation en matière de baux à loyer du district d’Aigle. III. La bénéficiaire de l’assistance judiciaire est, dans la mesure de l’art. 123 CPC, tenue au remboursement de l’indemnité au conseil d’office mis à la charge de l’Etat. III. Les frais judiciaires de deuxième instance, arrêtés à 100 fr. (cent francs), sont laissés à la charge de l’Etat. IV. L’arrêt motivé est exécutoire. Le président :               Le greffier : Du 18 novembre 2013 Le dispositif de l'arrêt qui précède est communiqué par écrit aux intéressés. Le greffier : Du L'arrêt qui précède, dont la rédaction a été approuvée à huis clos, est notifié en expédition complète, par l'envoi de photocopies, à : ‑ Me Nicolas Mattenberger (pour M.________), ‑ Commission de conciliation en matière de baux à loyer du district d’Aigle.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