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 vom 7. Januar 2013</w:t>
      </w:r>
    </w:p>
    <w:p>
      <w:r>
        <w:t>VD Tribunal cantonal, 2013-01-07, FR</w:t>
      </w:r>
    </w:p>
    <w:p>
      <w:r>
        <w:rPr>
          <w:b/>
        </w:rPr>
        <w:t xml:space="preserve">Quelle: </w:t>
      </w:r>
      <w:r>
        <w:t>https://mcp.opencaselaw.ch/entscheid/vd_findinfo_HC___2013___75</w:t>
      </w:r>
    </w:p>
    <w:p>
      <w:r>
        <w:t>FR: VD_FINDINFO HC / 2013 / 75 du 7 janvier 2013</w:t>
      </w:r>
    </w:p>
    <w:p>
      <w:r>
        <w:t>IT: VD_FINDINFO HC / 2013 / 75 del 7 gennaio 2013</w:t>
      </w:r>
    </w:p>
    <w:p>
      <w:pPr>
        <w:pStyle w:val="Heading2"/>
      </w:pPr>
      <w:r>
        <w:t>Regeste</w:t>
      </w:r>
    </w:p>
    <w:p>
      <w:r>
        <w:t>ACTION EN PAIEMENT D'ENTRETIEN, REVENU HYPOTHÉTIQUE, MINIMUM VITAL | 285 CC, 308 CPC (CH), 312 al. 1 CPC (CH)</w:t>
      </w:r>
    </w:p>
    <w:p>
      <w:pPr>
        <w:pStyle w:val="Heading2"/>
      </w:pPr>
      <w:r>
        <w:t>Erwägungen</w:t>
      </w:r>
    </w:p>
    <w:p>
      <w:r>
        <w:rPr>
          <w:b/>
        </w:rPr>
        <w:t>E. 1</w:t>
      </w:r>
    </w:p>
    <w:p>
      <w:r>
        <w:t>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patrimoniales, dont la valeur litigieuse est supérieure à 10'000 fr., le présent 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a) L’appelant conteste l’imputation d’un revenu hypothétique à lui-même, ainsi qu’à son épouse. Cette dernière a 43 ans, ne maîtrise qu’imparfaitement le français et n’a pratiquement jamais travaillé. Il estime que la contribution d’entretien, telle que fixée par le premier juge, ne préserve pas son minimum vital, compte tenu de ses revenus et de ses charges. Il assume l’entretien d’un autre enfant mineur et celui de son épouse, qui ne travaille pas. ba) Selon l'article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 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 e éd., 2009, n. 978, pp. 567-568; TF 5A_84/2007 du 18 septembre 2007 c. 5.1). Il s'agit là d'un taux approximatif qui doit être pondéré au vu des circonstances, selon l'équité (ATF 107 II 406 c. 2c; RSJ 1984 p. 392 n° 4 précité; Meier/Stettler, ibidem). Ces critères sont applicables à tous les enfants mineurs, indépendamment de l'état civil de leurs parents (mariés ou non, séparés ou divorcés ;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réf.cit.).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bb)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publié in FamPra.ch 2012, p. 228;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(TF 5A_18/2011 du 1 er juin 2011 c. 3.1.1 ; TF 5A_435/2011 du 14 novembre 2011 c. 6.2 ; ATF 128 III 4 c. 4c/bb; ATF 126 III 10 c. 2b ;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bc) En présence de capacités financières limitées, le minimum vital du débirentier au sens du droit des poursuites doit en principe être garanti (ATF 127 III 68, JT 2001 I 562 c. 2c). En règle générale, on considère que le minimum vital de l'époux débiteur remarié, ou vivant en concubinage, s'établit à la moitié du montant de base de deux adultes formant une communauté domestique durable conformément aux lignes directrices de la Conférence des préposés aux poursuites et faillites de Suisse (ATF 137 III 59 c. 4.2.2, JT 2011 II 352 ; cf. ATF 128 III 159, JT 2002 I 58 en matière de concubinage ; CACI 17 avril 2012/172). Le minimum vital de base des parties doit être augmenté de 20% lorsque les contributions sont dues à long terme (TF 5C.237/2006 du 10 janvier 2007 c. 2.4.1; Meier/Stettler, op. cit., n. 982 p. 572 et note infrapaginale 2122).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sans prendre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JT 2011 II 359 ; ATF 127 III 68 c. 2c), ni les charges concernant uniquement le nouvel époux - ou le partenaire enregistré - pour lesquelles le débiteur devrait contribuer en vertu de l'art. 163 CC dans la mesure où le nouvel époux ne peut les assumer par ses propres moyens (ATF 137 III 59 c. 4.2.2, JT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références ;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JT 2011 II 359 ; ATF 135 III 66; TF 5A_353/2010 du 29 octobre 2010 c. 6.2.1). Dans le cas d'un couple marié, pour définir le minimum vital d'un conjoint, il est nécessaire de déterminer le revenu net des deux époux, leur minimum vital commun (montant de base pour le couple et les enfants, avec les suppléments, respectivement les déductions, qui doivent être pris en compte) et répartir ensuite celui-ci proportionnellement à leurs revenus nets. La part saisissable du revenu du conjoint poursuivi se dégage alors en déduisant de son revenu net déterminant sa part au minimum vital (ATF 114 III 12, JT 1990 II 118 c. 3). En cas de mariage, le point déterminant est de savoir si le conjoint contribue concrètement au financement de l'union conjugale par ses revenus. En ce cas et conformément à l'ATF 114 III 12 précité, il faut répartir le minimum vital commun entre les époux proportionnellement à leurs revenus respectifs, puis déduire du revenu de ce conjoint la part du minimum vital (CREC II 14 septembre 2010/180 c. 3.5; CREC II 2 mars 2011/31). c) En l’espèce, il convient tout d’abord de distinguer la période pendant laquelle l’appelant vivait séparé de son épouse de celle pendant laquelle les époux vivaient à nouveau sous le même toit, soit dès le 1 er novembre 2011. ca) Pendant la première période, soit d’avril 2010 à octobre 2011, il convient de ne tenir compte que du salaire réel du débirentier (12 x 4'600 fr. net) et de ses charges personnelles, telles que la pension pour le gîte et le couvert payé à ses propres parents, ses primes d’assurance-maladie, ses frais de transport et impôts. Ces charges s'élèvent à 2'344 fr., auxquels il convient d'ajouter 240 fr.,soit le 20% de la base du minimum vital. Les calculs effectués par le premier juge ne prêtent pas le flanc à la critique, de sorte que la Cour de céans peut les reprendre à son compte et ainsi confirmer la contribution d’entretien fixée à 400 fr., tout à fait adéquate au regard des principes énoncés précédemment, et même plutôt modeste. cb) S’agissant de la deuxième période, soit dès le 1 er novembre 2011, le premier juge a refusé de tenir compte du salaire inférieur réalisé par le débirentier dans le cadre d’une nouvelle formation professionnelle. Il lui a imputé un revenu hypothétique correspondant au revenu réalisé dans l’emploi précédent et, enfin, a tenu compte dans l’établissement du minimum vital d’un revenu hypothétique de son épouse, qui est sans activité. cb/a) Le débirentier, qui gagnait 4'600 fr. net dans son précédent emploi, a fait le choix de quitter cette activité pour suivre une formation de mécanicien aux [...]. Il résulte de la jurisprudence citée plus haut que ce choix lui est opposable. L’appelant argue certes du fait que cette nouvelle formation a pour but d’améliorer et de garantir ses revenus futurs. Or, alors que le contrat de formation a dû prendre fin le 31 octobre 2012, cette amélioration est loin d’être en vue. Il résulte d’ailleurs du jugement de première instance que l’appelant a précisé qu’il pensait terminer la formation en octobre 2012 mais qu’il ne prévoyait pas que sa nouvelle fonction lui rapporterait beaucoup plus dans l’immédiat. Dans son appel daté du 25 octobre 2012, l’appelant ne remet pas en cause ces déclarations ni ne fournit de plus amples indications sur son avenir professionnel. Dans ces conditions, c’est à juste titre que le premier juge lui a, sur le principe, imputé un revenu hypothétique. Reste à examiner le bien-fondé du montant de 4'600 fr. repris par le premier juge sur la base de la rémunération obtenue par l’appelant auprès de son précédent employeur. L’imputation d’un revenu hypothétique à l’appelant résultant du choix fait par ce dernier de changer de profession, la possibilité de réaliser concrètement le revenu hypothétique découle de la décision de changer d’orientation. La décision du premier juge de s’en tenir au salaire réalisé dans l’emploi occupé avant le changement est dans ces conditions tout à fait adéquate. C’est d’ailleurs un montant au moins égal, si ce n’est supérieur, qu’il aurait été possible de retenir pour l’appelant, monteur électricien expérimenté, si référence avait été faite à l’enquête suisse sur la structure des salaires publiée par l’office fédéral de la statistique. L’appel doit être rejeté sur ce point. cb/b) Le premier juge a calculé le minimum vital de l’appelant en prenant en compte un revenu hypothétique de 1'600 fr. pour l’épouse de celui-ci. Il résulte de la jurisprudence citée plus haut que le montant des charges à prendre en compte dans le calcul du minimum vital du débirentier, notamment du loyer, dépend de l’importance de la part mise à la charge du conjoint du débirentier, dite importance étant elle-même liée à celle des revenus de ce conjoint. En l’occurrence, le premier juge a admis que, nonobstant l’absence de formation professionnelle, l’épouse de l’appelant pouvait à tout le moins travailler à mi-temps dans le domaine du nettoyage. Il a considéré qu’on pouvait l’exiger d’elle dès lors que l’enfant du couple avait plus que dix ans, appliquant ici par analogie les règles relatives à l'art. 125 CC. Se fondant sur les chiffres fournis par l’office fédéral de la statistique et dont il a déjà été question plus haut, il a retenu en définitive une capacité de gain de 1'600 fr., soit la moitié d’un salaire net arrêté sur la base des statistiques fournies pour les salaires bruts. La Cour d’appel peut reprendre ce raisonnement à son compte en ajoutant que la possibilité d’exercer ce type d’activité existe dans un marché du travail dans lequel, régulièrement, la demande dépasse l’offre. Enfin, compte tenu de la situation financière serrée du couple A.F.________ et L.________, on peut attendre de cette dernière, apte à travailler au regard de son âge et de son état de santé, qu’elle exerce une activité lucrative au moins partielle de manière à participer aux charges du ménage. cb/c) Dès lors, le minimum vital de l’appelant doit être calculé sur la base des charges suivantes : la moitié du montant de base (1/2 de 1'700 fr.) augmentée de 20 % égale à 1'020 fr., la contribution étant due sur la durée, 75% du loyer de 1'201 fr., cette proportion résultant du rapport entre les revenus des époux (4'600 fr. / 6’200 fr. = 0,74), soit 900 fr., 75% des frais de voiture, soit 305 fr. 25 (parking et assurances), 75% des 900 fr. d’impôts retenus par le premier juge, soit 675 fr., et ses propres frais d’assurance-maladie à hauteur de 37 fr. 20 (327 fr. 20 – 290 fr.). Le solde disponible s’élève donc à 1'662 fr. 55 (4'600  fr. – 1'020 fr. – 900 fr. – 305 fr. 25 – 675 fr. – 37 fr. 20), solde qui doit être réparti entre les deux enfants. Compte tenu des revenus notablement inférieurs de la mère de B.F.________, la proportion de 60% - 40%, retenue par le premier juge, s’agissant de la répartition du disponible entre les deux enfants, est correcte. Par conséquent, c’est à juste titre que la contribution d’entretien litigieuse a été fixée à 400 fr. jusqu’à l’âge de 6 ans révolus, à 450 fr. jusqu’à l’âge de 13 ans révolus et 500 fr. jusqu’à la majorité ou l’indépendance économique de l’enfant, sous réserve de l’art. 277 al. 2 CC.</w:t>
      </w:r>
    </w:p>
    <w:p>
      <w:r>
        <w:rPr>
          <w:b/>
        </w:rPr>
        <w:t>E. 4</w:t>
      </w:r>
    </w:p>
    <w:p>
      <w:r>
        <w:t>Au vu de ce qui précède, l’appel doit être rejeté en vertu de l’art. 312 al. 1 CPC et le jugement attaqué confirmé.</w:t>
      </w:r>
    </w:p>
    <w:p>
      <w:r>
        <w:rPr>
          <w:b/>
        </w:rPr>
        <w:t>E. 5</w:t>
      </w:r>
    </w:p>
    <w:p>
      <w:r>
        <w:t>Le dispositif mentionne, sous chiffre I, que l’appel est rejeté, sans indiquer, sous chiffre II, que le jugement attaqué est confirmé. Le dispositif est dès lors incomplet, et peut être rectifié d’office en vertu de l’art. 334 al. 1 CPC.</w:t>
      </w:r>
    </w:p>
    <w:p>
      <w:r>
        <w:rPr>
          <w:b/>
        </w:rPr>
        <w:t>E. 6</w:t>
      </w:r>
    </w:p>
    <w:p>
      <w:r>
        <w:t>Les frais judiciaires de deuxième instance, arrêtés à 600 fr. (art. 63 al. 1 TFJC [tarif des frais judiciaires civils du 28 septembre 2010, RSV 270.11.5]), sont laissés à la charge de l’Etat, l’appelant bénéficiant de l’assistance judiciaire (art. 122 CPC). Conformément à l’art. 123 al. 1 CPC, une partie est tenue de rembourser l’assistance judiciaire dès qu’elle est en mesure de le faire. Dans cette mesure, l’appelante est tenue au remboursement des frais judiciaires et de l’indemnité de son conseil d’office mis à la charge de l’Etat. L’intimé n’ayant pas été invité à se déterminer, il n’y a pas lieu de lui allouer de dépens.</w:t>
      </w:r>
    </w:p>
    <w:p>
      <w:r>
        <w:rPr>
          <w:b/>
        </w:rPr>
        <w:t>E. 7</w:t>
      </w:r>
    </w:p>
    <w:p>
      <w:r>
        <w:t>Comme indiqué dans la liste des opérations produite par le conseil de l’appelant, l’on peut fixer à 8 heures le temps consacré par celui-ci à l’accomplissement des opérations de la procédure d’appel. Le tarif horaire de l’avocat étant de 180 fr. (art. 2 al. 1 let. a RAJ [règlement du 7 décembre 2010 sur l’assistance judiciaire en matière civile, RSV 211.02.3]), l’indemnité, due au conseil d’office de l’appelant, doit être arrêtée à 1'618 fr. 60, TVA et débours fixés à 63 fr. 40 compris (([8 x 180] + 63.40) + (1'440 x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