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742 vom 15. November 2013</w:t>
      </w:r>
    </w:p>
    <w:p>
      <w:r>
        <w:t>VD Tribunal cantonal, 2013-11-15, FR</w:t>
      </w:r>
    </w:p>
    <w:p>
      <w:r>
        <w:rPr>
          <w:b/>
        </w:rPr>
        <w:t xml:space="preserve">Quelle: </w:t>
      </w:r>
      <w:r>
        <w:t>https://mcp.opencaselaw.ch/entscheid/vd_findinfo_HC___2013___742</w:t>
      </w:r>
    </w:p>
    <w:p>
      <w:r>
        <w:t>FR: VD_FINDINFO HC / 2013 / 742 du 15 novembre 2013</w:t>
      </w:r>
    </w:p>
    <w:p>
      <w:r>
        <w:t>IT: VD_FINDINFO HC / 2013 / 742 del 15 novembre 2013</w:t>
      </w:r>
    </w:p>
    <w:p>
      <w:pPr>
        <w:pStyle w:val="Heading2"/>
      </w:pPr>
      <w:r>
        <w:t>Regeste</w:t>
      </w:r>
    </w:p>
    <w:p>
      <w:r>
        <w:t>MESURE DE CONTRAINTE{DROIT DES ÉTRANGERS}, RENVOI{DROIT DES ÉTRANGERS}, PROLONGATION DU DÉLAI, RAISON MÉDICALE, REJET DE LA DEMANDE |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17 octobre 2013,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du 3 octobre 2013,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recourant a été informé de son droit de demander la désignation d’un conseil d’office (art. 24 al. 2 LVLEtr). Un conseil d’office lui a été désigné. La procédure a ainsi été régulière, le droit d’être entendu du recourant ayant été respecté.</w:t>
      </w:r>
    </w:p>
    <w:p>
      <w:r>
        <w:rPr>
          <w:b/>
        </w:rPr>
        <w:t>E. 4</w:t>
      </w:r>
    </w:p>
    <w:p>
      <w:r>
        <w:t>octobre 2013 devant la Juge de paix du district de Lausanne, à savoir avant même que le Royaume-Uni n’accepte sa réadmission, il a déclaré qu’il ne pouvait pas quitter la Suisse dès lors qu’il devait se rendre au CHUV pour des problèmes médicaux, des rendez-vous ayant déjà été fixés. Il a ainsi démontré, tant par son comportement que par ses déclarations, qu’il n’entendait pas collaborer à son renvoi. Au surplus, le recourant ne fournit aucune preuve de l’existence de ses problèmes de santé – au demeurant jamais allégués auparavant -, que ce soit un certificat médical, des fiches de rendez-vous du CHUV, ou tout autre élément de preuve. A cet égard, des rendez-vous médicaux en vue de « cerner » une maladie ne constituent pas un motif suffisamment important justifiant une prolongation du délai de départ au sens de l’art. 64d al. 1 ou 69 al. 3 LEtr, à plus forte raison lorsque le renvoi a lieu vers un pays de l’Union européenne bénéficiant de structures médicales modernes. Enfin, il y a lieu de rappeler que les personnes placées en détention en vue de leur renvoi bénéficient d’un suivi médical et des soins requis par leur état de santé. Mal fondé, le grief du recourant doit être rejeté.</w:t>
      </w:r>
    </w:p>
    <w:p>
      <w:r>
        <w:rPr>
          <w:b/>
        </w:rPr>
        <w:t>E. 5</w:t>
      </w:r>
    </w:p>
    <w:p>
      <w:r>
        <w:t>Le recourant ne prétend pas que sa détention serait illicite. On peut dès lors se dispenser d’examiner cette question en relevant, pour conclure, que le principe de proportionnalité est respecté, dès lors que le refoulement du recourant pourra manifestement être exécuté avant l’échéance du délai maximal de détention de dix-huit mois prévu par la loi. A cet égard, les démarches entreprises en vue de l’exécution du renvoi se poursuivent sans discontinuer, soit à satisfaction du devoir de diligence et de célérité. Le recours doit dès lors également être rejeté sur ce point.</w:t>
      </w:r>
    </w:p>
    <w:p>
      <w:r>
        <w:rPr>
          <w:b/>
        </w:rPr>
        <w:t>E. 6</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Alain Dubuis a produit une liste d’opérations faisant état de dix heures de travail, dont neuf heures et trente minutes effectuées par un avocat-stagiaire, ainsi que de débours à hauteur de 300 fr. qu’il y a lieu de réduire à 120 fr. pour la vacation au lieu de détention du recourant. Compte tenu d’un tarif horaire de 180 fr. pour un avocat et de 110 fr. pour un avocat-stagiaire, l’indemnité doit être fixée à 1'335 fr. 40, soit 1'225 fr. 80 d’honoraires, TVA comprise, et 129 fr. 60 de débours, TVA comprise. Par ces motifs, la Chambre des recours civile du Tribunal cantonal, statuant à huis clos, prononce : I. Le recours est rejeté. II. L’ordonnance est confirmée. III. L’arrêt est rendu sans frais. IV. L’indemnité d’office de Me Alain Dubuis, conseil du recourant, est arrêtée à 1'355 fr. 40 (mille trois cent cinquante-cinq francs et quarante centimes), débours et TVA compris. V. L’arrêt motivé est exécutoire. Le président :               La greffière : Du 18 novembre 2013 Le dispositif de l'arrêt qui précède est communiqué par écrit aux intéressés. La greffière : Du L'arrêt qui précède, dont la rédaction a été approuvée à huis clos, est notifié en expédition complète, par l'envoi de photocopies, à : ‑ Me Alain Dubuis, avocat (pour K.________), ‑ Service de la population, Secteur dépars.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