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74 vom 10. Januar 2013</w:t>
      </w:r>
    </w:p>
    <w:p>
      <w:r>
        <w:t>VD Tribunal cantonal, 2013-01-10, FR</w:t>
      </w:r>
    </w:p>
    <w:p>
      <w:r>
        <w:rPr>
          <w:b/>
        </w:rPr>
        <w:t xml:space="preserve">Quelle: </w:t>
      </w:r>
      <w:r>
        <w:t>https://mcp.opencaselaw.ch/entscheid/vd_findinfo_HC___2013___74</w:t>
      </w:r>
    </w:p>
    <w:p>
      <w:r>
        <w:t>FR: VD_FINDINFO HC / 2013 / 74 du 10 janvier 2013</w:t>
      </w:r>
    </w:p>
    <w:p>
      <w:r>
        <w:t>IT: VD_FINDINFO HC / 2013 / 74 del 10 gennaio 2013</w:t>
      </w:r>
    </w:p>
    <w:p>
      <w:pPr>
        <w:pStyle w:val="Heading2"/>
      </w:pPr>
      <w:r>
        <w:t>Regeste</w:t>
      </w:r>
    </w:p>
    <w:p>
      <w:r>
        <w:t>OBLIGATION D'ENTRETIEN, ENFANT NÉ HORS MARIAGE, MESURE PROVISIONNELLE, REVENU HYPOTHÉTIQUE | 285 al. 1 CC, 248 let. d CPC (CH), 303 al. 1 CPC (CH), 308 al. 1 let. b CPC (CH)</w:t>
      </w:r>
    </w:p>
    <w:p>
      <w:pPr>
        <w:pStyle w:val="Heading2"/>
      </w:pPr>
      <w:r>
        <w:t>Erwägungen</w:t>
      </w:r>
    </w:p>
    <w:p>
      <w:r>
        <w:rPr>
          <w:b/>
        </w:rPr>
        <w:t>E. 1</w:t>
      </w:r>
    </w:p>
    <w:p>
      <w:r>
        <w:t>Le 7 janvier 2007, [...], ressortissante portugaise, a donné naissance, hors mariage, à l'enfant [...], issu des œuvres de N.________, ressortissant portugais, qui a reconnu son fils le 5 février 2007. Le 28 février 2008, N.________ et [...] ont signé une convention alimentaire, approuvée par la Justice de paix dans sa séance du 11 mars 2008, aux termes de laquelle le prénommé s'engageait à contribuer à l'entretien d'[...] par le versement, d'avance le premier de chaque mois, en mains de la mère de l'enfant, d'une pension mensuelle de 500 fr. jusqu'à l'âge de huit ans révolus, puis de 600 fr. jusqu'à l'âge de douze ans révolus, puis de 750 fr. jusqu'à l'âge de la majorité, allocations familiales non comprises. Les 14 et 18 avril 2011, les parties ont signé une convention sur les relations personnelles, que la justice de paix a approuvée dans sa séance du 10 mai 2011. La convention du 28 février 2008 comportait la mention manuscrite suivante : "dernier salaire = novembre 2007 = 3'335.10".</w:t>
      </w:r>
    </w:p>
    <w:p>
      <w:r>
        <w:rPr>
          <w:b/>
        </w:rPr>
        <w:t>E. 1.1</w:t>
      </w:r>
    </w:p>
    <w:p>
      <w:r>
        <w:t>L'appel est recevable contre une ordonnance de mesures provisionnelles (art. 308 al. 1 let. b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des prestations périodiques, elles doivent être capitalisées suivant la règle posée par l'art. 92 al. 2 CPC. Les mesures provisionnelles étant régies par la procédure sommaire, selon les art. 248 let. d, par renvoi de l'art. 303 al. 1 CPC pour la procédure applicable aux enfants (demande d'aliments et action en paternité), le délai pour l'introduction de l'appel est de dix jours (art. 314 al. 1 CPC). L'appel relève de la compétence d'un juge unique (art. 84 al. 2 LOJV [Loi d’organisation judiciaire du 12 décembre 1989; RSV 173.01]). Formé en temps utile par une partie qui y a intérêt (art. 59 al. 2 let. a CPC) et portant sur des conclusions qui, capitalisées selon l'art. 92 al. 2 CPC, sont supérieures à 10'000 fr., le présent 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 Conformément à l’art. 316 al. 3 CPC, l’instance d’appel peut administrer les preuves, si elle estime opportun de renouveler l’administration d’une preuve ou d’administrer une preuve alors que l’instance inférieure s’y était refusée (Jeandin, Code de procédure civile commenté, n. 5 ad art. 316 CPC). Si elle doit procéder à l’administration d’une preuve nouvelle ou instruire à raison de faits nouveaux, son pouvoir sera limité par les restrictions de l’art. 317 CPC (Jeandin, op. cit., n. 9 ad art. 316 CPC).</w:t>
      </w:r>
    </w:p>
    <w:p>
      <w:r>
        <w:rPr>
          <w:b/>
        </w:rPr>
        <w:t>E. 1.3</w:t>
      </w:r>
    </w:p>
    <w:p>
      <w:r>
        <w:t>A teneur de l'art. 296 al. 1 CPC, applicable aux demandes ayant pour objet la prétention d'aliments émanant d'un enfant de parents non mariés au sens des art. 276 à 279 CC (Jeandin, CPC commenté, 2011, nn. 2 et 14 ss ad art. 296 et 5 ad art. 303 al. 1), le tribunal établit les faits d'office, ce qui renvoie à la maxime inquisitoire réservée à l'art. 55 al. 2 CPC. Il s'agit de la maxime inquisitoire au sens strict, ce qui habilite le tribunal à administrer toute mesure probatoire nécessaire à cet effet, peu importe que les faits soient allégués ou non, admis ou contestés. Le juge doit rechercher et prendre en considération toutes les circonstances propres à mener à une décision qui réponde au mieux à la nécessité de sauvegarder le bien de l'enfant, sans que cela ne dispense les parties de collaborer à l'établissement des faits et à l'administration des preuves en renseignant le juge sur les faits de la cause et en lui indiquant les moyens de preuve à disposition. Cela étant, même si elle a été instaurée avant tout dans l'intérêt de l'enfant, la maxime inquisitoire doit aussi profiter au débiteur de la prestation d'aliments dont il convient notamment de préserver le droit au minimum vital (Jeandin, op. cit., n. 3 ad art. 296 CPC). En l'espèce, l'appelant a produit un bordereau de cinq pièces. Les pièces 3 et 4, qui se présentent sous forme de lots d'offres d'emploi, sont datées de manière fantaisiste, sans que l'appelant ne fournisse d'explications sur les raisons pour lesquelles il n'aurait pas pu les produire devant le premier juge. La plupart d'entre elles sont antérieures à l'audience de mesures provisionnelles du 21 septembre 2012 et, certaines, à l'audience du 30 mars 2012. Elles ne remplissent dès lors pas les conditions de recevabilité exposées ci-dessus. 2. Suite à la convention partielle signée par les parties à l'audience du 10 janvier 2013 et ratifiée pour valoir arrêt sur appel de mesures provisionnelles, qui règle les relations personnelles de N.________ à l'égard de son fils G.________, seule demeure litigieuse la question de l'entretien de l'enfant. 3.</w:t>
      </w:r>
    </w:p>
    <w:p>
      <w:r>
        <w:rPr>
          <w:b/>
        </w:rPr>
        <w:t>E. 2</w:t>
      </w:r>
    </w:p>
    <w:p>
      <w:r>
        <w:t>Le 30 mai 2011, [...] a donné naissance, hors mariage, à l'enfant G.________. Par demande du 15 novembre 2011, Me Elisabeth Chappuis, curatrice de l'enfant G.________, a ouvert action auprès du Tribunal civil d'arrondissement de Lausanne et conclu, avec suite de frais et dépens, à ce qu'il soit prononcé que N.________ est le père de l'enfant G.________, né le [...] 2011, qu'ordre soit donné en conséquence aux officiers d'état civil compétents d'inscrire que G.________ est le fils de [...] et de N.________, ce dernier contribuant à l'entretien de son fils par le régulier versement, en mains de la mère de l'enfant, d'avance le premier de chaque mois à compter du 1 er juin 2011, d'un montant de 500 francs. A l'audience du 30 mars 2012, N.________ a reconnu être le père de G.________ et s'est engagé à faire le nécessaire auprès de l'Etat civil, ce qu'il a fait le 18 juin 2012. Le procès-verbal de l'audience mentionnait que les parties réfléchissaient également à établir une nouvelle convention alimentaire pour les deux enfants.</w:t>
      </w:r>
    </w:p>
    <w:p>
      <w:r>
        <w:rPr>
          <w:b/>
        </w:rPr>
        <w:t>E. 3</w:t>
      </w:r>
    </w:p>
    <w:p>
      <w:r>
        <w:t>Par requête de mesures provisionnelles du</w:t>
      </w:r>
    </w:p>
    <w:p>
      <w:r>
        <w:rPr>
          <w:b/>
        </w:rPr>
        <w:t>E. 3.1</w:t>
      </w:r>
    </w:p>
    <w:p>
      <w:r>
        <w:t>L'appelant conteste l'imputation qui lui est faite d'un revenu hypothétique de 3'350 fr. par mois et considère qu'aucune contribution d'entretien ne peut être mise à sa charge pour l'entretien de son fils G.________. Il rappelle qu'il ne dispose d'aucune formation professionnelle, qu'il ne parle pas français, qu'il ne bénéficie en Suisse que d'un statut de visiteur et qu'il est confronté, sur les chantiers, à la problématique des entreprises sous-traitantes étrangères, lesquelles recrutent leurs ouvriers directement dans leur pays d'origine. Il soutient qu'il a cherché activement du travail, en Suisse et au Luxembourg, et qu'il a ainsi fait preuve de toute la volonté et de la motivation qu'on pouvait raisonnablement attendre de lui.</w:t>
      </w:r>
    </w:p>
    <w:p>
      <w:r>
        <w:rPr>
          <w:b/>
        </w:rPr>
        <w:t>E. 3.2</w:t>
      </w:r>
    </w:p>
    <w:p>
      <w:r>
        <w:t>Selon l'article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(al. 1).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III 110 c. 3a, JT 1993 I 162; TF 5A_159/2009 du 16 octobre 2009 c. 4.1). Sauf décision contraire du juge, les allocations pour enfants, les rentes d'assurances sociales et d'autres prestations destinées à l'entretien de l'enfant, qui reviennent à la personne tenue de pourvoir à son entretien, doivent être versées en sus de la contribution d'entretien (art. 285 al. 2 CC). La contribution d'entretien doit être versée d'avance, aux époques fixées par le juge (al. 3).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RSJ 1984 p. 392 n° 4 et note p. 393; Meier/Stettler, Droit de la filiation, 4ème éd., Zurich 2009, n. 978, pp. 567-568; TF 5A_84/2007 du 18 septembre 2007 c. 5.1). Il s'agit là d'un taux approximatif qui doit être pondéré au vu des circonstances, selon l'équité (ATF 107 II 406 c. 2c; RSJ 1984 p. 392 n° 4 précité; Meier/Stettler, ibidem). Ces critères sont applicables à tous les enfants mineurs, indépendamment de l'état civil de leurs parents (mariés ou non, séparés ou divorcés ; cf. CREC lI 15 novembre 2010/234). Le Tribunal fédéral a admis la méthode dite "des pourcentages" pour autant que la pension reste en rapport avec le niveau de vie et la capacité contributive du débiteur (TF 5A_178/2008 du 23 avril 2008 c. 3.3; TF 5A_84/2007 du 18 septembre 2007 c. 5.1 et les réf.cit.). Le jugement peut prévoir que la contribution sera augmentée ou réduite dès que des changements déterminés interviendront dans les besoins de l'enfant, les ressources des parents ou le coût de la vie (art. 286 al. 1 CC).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19 janvier 2012/38 c. 3b/aa et 3c; CREC II 22 octobre 2007/207 c. 5 et réf. citées).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Ensuite, le juge doit établir si la personne a la possibilité effective d'exercer l'activité ainsi déterminée et quel revenu elle peut en obtenir, compte tenu des circonstances subjectives susmentionnées, ainsi que du marché du travail; il s'agit là d'une question de fait (ATF 128 III 4 c. 4c/bb; 126 III 10 c. 2b). Pour arrêter le montant du salaire, le juge peut éventuellement se baser sur l'enquête suisse sur la structure des salaires, réalisée par l'Office fédéral de la statistique, ou sur d'autres sources (conventions collectives de travail; Philipp Mühlhauser, Das Lohnbuch 2010, Mindestlöhne sowie orts- und berufübliche Löhne in der Schweiz, Zurich 2010; ATF 137 III 118 c. 3.2, JT 2011 II 486; TF 5A_99/2011 du 26 septembre 2011 c. 7.4.1 publié in FamPra.ch 2012, p. 228; TF 5A_860/2011 du 11 juin 2012 c. 4.1).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 3.1, JT 2011 II 486; TF 5A_21/2012 du 3 mai 2012 c. 3.3). Les parents doivent ainsi s'adapter tant du point de vue professionnel que du point de vue spatial pour épuiser de manière maximale leur capacité de travail (TF 5A_513/2012 du 17 octobre 2012 c. 5.) En présence de capacités financières limitées, le minimum vital du débirentier au sens du droit des poursuites doit en principe être garanti (ATF 127 III 68, JT 2001 I 562 c. 2c). Lorsqu'un revenu hypothétique est admis, c'est au regard de ce revenu que l'on doit examiner si le minimum vital du débiteur est sauvegardé (ATF 123 III 1 c.3)</w:t>
      </w:r>
    </w:p>
    <w:p>
      <w:r>
        <w:rPr>
          <w:b/>
        </w:rPr>
        <w:t>E. 3.3</w:t>
      </w:r>
    </w:p>
    <w:p>
      <w:r>
        <w:t>En l'espèce, le premier juge a imputé à l'appelant un revenu mensuel net de 3'350 fr., correspondant au dernier salaire réalisé au printemps 2010 dans une entreprise yverdonnoise.</w:t>
      </w:r>
    </w:p>
    <w:p>
      <w:r>
        <w:rPr>
          <w:b/>
        </w:rPr>
        <w:t>E. 3.4</w:t>
      </w:r>
    </w:p>
    <w:p>
      <w:r>
        <w:t>L'appelant ne remet pas en cause la jurisprudence relative au revenu hypothétique, mais conteste que les conditions soient réalisées en l'espèce, tout en admettant que le montant retenu à ce titre est raisonnable. Son absence de formation professionnelle et sa méconnaissance du français compliquent certes ses chances de trouver du travail, mais ne la compromettent pas; ses considérations sur la sous-traitance dont il serait victime ne sont pas pertinentes. On peine à croire en effet que l'appelant, qui demeure en Suisse romande depuis 2007 au moins, ne s'exprime toujours pas suffisamment bien en français pour exercer une activité professionnelle peu qualifiée. Du reste, il a démontré qu'il était capable par le passé d'exercer une activité lucrative puisqu'il réalisait,en novembre 2007, lors de la signature de la convention alimentaire concernant son fils aîné [...], un salaire net de 3'339 fr. 10 et, en juin 2010, de 3'348 francs. L'appelant n'a jamais apporté le moindre indice permettant de considérer qu'il ne disposait effectivement pas d'une autorisation de travail en Suisse, voire d'y séjourner, dès lors qu'il y demeure depuis 2007. Il n'a fourni aucune précision, ni devant le premier juge, ni devant l'autorité de céans, au sujet de sa situation financière actuelle (chômage, aide sociale, revenus de sa compagne, dont il bénéficierait). Faute de tout élément probant de sa part, c'est donc à juste titre que le premier juge a tenu compte d'un revenu hypothétique. Compte tenu de la conjoncture économique et des capacités professionnelles de l'appelant, lui attribuer une capacité de gain de 3'350 fr. net par mois échappe à toute critique. L'appelant, qui est jeune, n'a pas fait valoir que des motifs liés à son état de santé l'empêcheraient d'obtenir un emploi. On doit dès lors admettre qu'il pourrait réaliser un revenu en faisant preuve des efforts que l'on peut exiger de lui et, vu que toutes ses charges sont assumées par des tiers, que le montant de la contribution tel qu'arrêté par le premier juge ne porte pas atteinte à son minimum vital. Le premier juge a déterminé le montant de la contribution d'entretien due pour l'enfant G.________ en fonction du nombre d'enfants bénéficiaires. Il a considéré que la contribution totale due pour l'entretien des enfants [...] et G.________ devait s'élever à 25% du revenu mensuel net imputable au débiteur, soit au montant total arrondi de 835 fr., et que, dès lors que N.________ versait déjà à la mère une pension de 500 fr. pour le fils aîné, la pension due pour l'entretien du cadet devait se monter à 335 francs. Cette contribution d'entretien entre dans les limites jurisprudentielles susmentionnées (cf. supra c. 3.2). Le montant ainsi arrêté, qui ne comprend pas les allocations familiales, paraît adéquat. Il s'ensuit que l'appel doit être rejeté. 4. En conclusion, l'appel doit être rejeté et l'ordonnance confirmée. L’appelant plaidant au bénéfice de l’assistance judiciaire, les frais judiciaires de deuxième instance, qui doivent être arrêtés à 300 fr. compte tenu de la transaction partielle conclue à l'audience d'appel (art. 29 et 65 al. 2 TFJC [tarif des frais judiciaires civils du 28 septembre 2010; RSV 270.11.5]), seront laissés à la charge de l’Etat (art.122 al. 1 let. b CPC). L'appelant a obtenu l'assistance judiciaire dans la procédure d'appel. Son conseil doit être rémunéré équitablement pour les opérations nécessaires à l'appel (art. 122 al. 1 let. a CPC et 2 RLAJ [règlement d'exécution de la loi du 24 novembre 1982 sur l'assistance judiciaire en matière civile du 3 juin 1988; RSV 173.81.1]). Sur la base de la liste de frais produite par Me Pedro Da Silva Neves le 21 janvier 2013 pour la procédure d'appel, une indemnité d’office de 1'728 fr. lui est accordée selon le décompte suivant : 1'300 fr. d'honoraires et 104 fr. de TVA au taux 2011 de 8%, 200 fr. d'indemnité de déplacement et 16 fr. de TVA, et 100 fr. de débours, plus 8 fr. de TVA (art. 2 al. 4 RAJ [règlement  sur l'assistance judiciaire en matière civile du 7 décembre 2010; RSV 211.02.3] et 42 CDPJ [code de droit privé judiciaire vaudois du 12 janvier 2010; RSV 211.02]). L'intimé a également obtenu l'assistance judiciaire dans la procédure d'appel. Sur la base de la liste de frais produite par Me Elisabeth Chappuis le 10 janvier 2013 pour la procédure d'appel, laquelle a été autorisée par la justice de paix à requérir l'assistance judiciaire selon décision du 16 août 2011, une indemnité d’office de 1'566 fr. lui est accordée selon le décompte suivant : 1'350 fr. d'honoraires plus 108 fr. de TVA, et 100 fr. de débours plus 8 fr. de TVA. Dans la mesure de l’art. 123 CPC, les bénéficiaires de l'assistance judiciaire sont tenus au remboursement des frais judiciaires et de l’indemnité à son conseil d’office mis à la charge de l’Etat. Vu le sort de l'appel, les dépens de deuxième instance sont compensés. Par ces motifs, le juge délégué de la Cour d’appel civile du Tribunal cantonal, statuant à huis clos, prononce : I. La convention partielle ci-jointe, signée au procès-verbal de l'audience du 10 janvier 2013 par l'appelant N.________ et l'intimé G.________, représenté par sa mère [...], est ratifiée pour valoir arrêt sur appel. II. L’appel est rejeté pour le surplus. III. L'ordonnance est confirmée pour le surplus. IV. Les frais judiciaires de deuxième instance, arrêtés à 300 fr. (trois cents francs) pour l'appelant sont laissés à la charge de l'Etat. V. L'indemnité d'office de Me Pedro Da Silva Neves, conseil de l'appelant, est arrêtée à 1'728 fr. (mille sept cent vingt-huit francs), TVA et débours compris, et celle de Me Elisabeth Chappuis, conseil de l'intimé, à 1'566 fr. (mille cinq cent soixante-six francs), TVA et débours compris. VI. Les bénéficiaires de l'assistance judiciaire sont, dans la mesure de l'art. 123 CPC, tenus au remboursement des frais judiciaires et de l'indemnité à leur conseil d'office mis à la charge de l'Etat. VII. Les dépens sont compensés. VIII. L'arrêt motivé est exécutoire. Le juge délégué : Le greffier : Du</w:t>
      </w:r>
    </w:p>
    <w:p>
      <w:r>
        <w:rPr>
          <w:b/>
        </w:rPr>
        <w:t>E. 4</w:t>
      </w:r>
    </w:p>
    <w:p>
      <w:r>
        <w:t>N.________ réalisait en novembre 2007 un gain net de   3'339 fr. 10. Il a travaillé dès le 17 mars 2010 pour le compte de [...], à Yverdon-les-Bains. Son décompte de salaire pour la période du 31 mai au 17 juin 2010 faisait état d'un gain hebdomadaire net de 935 fr. 65, qui comprenait la part au treizième salaire (8,33%) une indemnité pour jour férié (3,58%), la part aux vacances (10,64%) et les frais de repas (80 fr. [5 x 16]). N.________ est depuis lors sans emploi. Il a expliqué à l'audience d'appel du 10 janvier 2013 qu'il avait activement cherché du travail, en envoyant en Suisse et à l'étranger de nombreuses lettres à des entreprises de construction pour offrir ses services, qu'il n'avait pas trouvé d'emploi en Suisse, n'ayant pas de permis de travail et ne parlant pas le français, qu'il s'était rendu d'août à octobre 2012 au Luxembourg, où vit et travaille son frère, pour y chercher du travail, qu'il était rentré bredouille, mais qu'il avait bon espoir de se faire engager cette année par une entreprise luxembourgeoise, en qualité de manœuvre. Il a admis que le montant de 3'348 fr. retenu par l'ordonnance querellée à titre de revenu net hypothétique moyen était raisonnable. N.________ est hébergé par son amie [...], à Onex. Il prétend être aidé financièrement par son frère.</w:t>
      </w:r>
    </w:p>
    <w:p>
      <w:r>
        <w:rPr>
          <w:b/>
        </w:rPr>
        <w:t>E. 5</w:t>
      </w:r>
    </w:p>
    <w:p>
      <w:r>
        <w:t>[...] n'exerce aucune activité lucrative. Elle bénéficie depuis le 1 er septembre 2007 du minimum de réinsertion, dont le montant est à ce jour de 3'431 francs. La pension alimentaire pour son fils [...] lui est servie par le BRAPA (Bureau de recouvrement et d'avances de pensions). En droit : 1.</w:t>
      </w:r>
    </w:p>
    <w:p>
      <w:r>
        <w:rPr>
          <w:b/>
        </w:rPr>
        <w:t>E. 10</w:t>
      </w:r>
    </w:p>
    <w:p>
      <w:r>
        <w:t>janvier 2013 Le dispositif de l'arrêt qui précède est communiqué par écrit aux intéressés. Le greffier : Du L'arrêt qui précède, dont la rédaction a été approuvée à huis clos, est notifié en expédition complète, par l'envoi de photocopies à : ‑ Me Pedro Da Silva Neves (pour N.________), ‑ Me Elisabeth Chappuis (pour G.________).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