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738 vom 19. November 2013</w:t>
      </w:r>
    </w:p>
    <w:p>
      <w:r>
        <w:t>VD Tribunal cantonal, 2013-11-19, FR</w:t>
      </w:r>
    </w:p>
    <w:p>
      <w:r>
        <w:rPr>
          <w:b/>
        </w:rPr>
        <w:t xml:space="preserve">Quelle: </w:t>
      </w:r>
      <w:r>
        <w:t>https://mcp.opencaselaw.ch/entscheid/vd_findinfo_HC___2013___738</w:t>
      </w:r>
    </w:p>
    <w:p>
      <w:r>
        <w:t>FR: VD_FINDINFO HC / 2013 / 738 du 19 novembre 2013</w:t>
      </w:r>
    </w:p>
    <w:p>
      <w:r>
        <w:t>IT: VD_FINDINFO HC / 2013 / 738 del 19 novembre 2013</w:t>
      </w:r>
    </w:p>
    <w:p>
      <w:pPr>
        <w:pStyle w:val="Heading2"/>
      </w:pPr>
      <w:r>
        <w:t>Regeste</w:t>
      </w:r>
    </w:p>
    <w:p>
      <w:r>
        <w:t>BAIL À LOYER, DEMEURE DU DÉBITEUR, RÉSILIATION ANTICIPÉE | 257d CO, 308 al. 1 let. a CPC (CH), 308 al. 2 CPC (CH)</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Le litige porte sur le bien-fondé d'une ordonnance d'expulsion rendue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w:t>
      </w:r>
    </w:p>
    <w:p>
      <w:r>
        <w:rPr>
          <w:b/>
        </w:rPr>
        <w:t>E. 1.2</w:t>
      </w:r>
    </w:p>
    <w:p>
      <w:r>
        <w:t>L'appel s'exerce en principe dans un délai de trente jours (art. 311 al. 1 CPC). Le délai d'appel est toutefois de dix jours dans toutes les décisions rendues en procédure sommaire (art. 314 al. 1 CPC). En l'espèce, le bailleur a requis la protection dans les cas clairs (art. 257 CPC)  et le premier juge en a fait application. Une telle procédure étant sommaire, le délai d'appel est de dix jours. L’appel est ainsi interjeté en temps utile, l’acte ayant été déposé dans les dix jours qui ont suivi la notification de l’ordonnance querellée. 2. 2.1 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e éd., Berne 2010, n. 2399). L'autorité d'appel applique le droit d'office : elle n'est pas liée par les motifs invoqués par les parties ou par le tribunal de première instance (HohI, op. cit., n. 2396, p. 435; Spühler, Basler Kommentar, Schweizerische Zivilprozessordnung, Bâle 2010, n. 1 ad art. 310 CPC, p. 1489).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op. cit., n. 8 ad. art 317 CPC). En l’espèce, l’appelant a produit un lot de pièces. Les correspondances du 4 avril 2012, 8 avril 2013, 18 juin 2013 et 13 septembre 2013 ont déjà été produites en première instance; elles ne sont ainsi pas nouvelles de sorte qu’il n’y a pas lieu de statuer sur leur recevabilité. Le courrier du 18 octobre 2013 adressé par le conseil de l’appelant au Service de prévoyance et d’aide sociale est irrecevable dès lors que l’appelant n’a pas démontré en quoi les conditions d’application de l’art. 317 al. 1 CPC seraient réunies.</w:t>
      </w:r>
    </w:p>
    <w:p>
      <w:r>
        <w:rPr>
          <w:b/>
        </w:rPr>
        <w:t>E. 3</w:t>
      </w:r>
    </w:p>
    <w:p>
      <w:r>
        <w:t>mars 2010 c. 1.1; SJ 2001 I 17 c. 1a; ATF 119 Il 147 c. 1). En l'espèce, le loyer mensuel des locaux d’habitation s'élève à 840 fr., de sorte que la limite de 10'000 fr. fixée par l'art. 308 al. 2 CPC est sans conteste atteinte.</w:t>
      </w:r>
    </w:p>
    <w:p>
      <w:r>
        <w:rPr>
          <w:b/>
        </w:rPr>
        <w:t>E. 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les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w:t>
      </w:r>
    </w:p>
    <w:p>
      <w:r>
        <w:rPr>
          <w:b/>
        </w:rPr>
        <w:t>E. 3.2</w:t>
      </w:r>
    </w:p>
    <w:p>
      <w:r>
        <w:t>L’appelant soutient qu’il serait prématuré de l’expulser car la procédure de recours relative au retrait des prestations du revenu d’insertion n’est pas terminée. Il fait valoir que s’il obtient gain de cause, le CSR de Nyon-Rolle devra payer tous les arriérés de loyer, ainsi que les futurs loyers. Il ressort du contrat de bail du 9 janvier 2013 que le loyer devait être payé par le CSR de Nyon, tant que le locataire bénéficierait de l’aide dudit CSR. Selon les déterminations du 18 juin 2013 de l’appelant adressées au Service de prévoyance et d’aide sociales, les prestations du revenu d’insertion ont apparemment été suspendues dès janvier 2013, puis supprimées selon décision du 8 janvier 2013. Dès lors que le CSR avait cessé le paiement du loyer, il appartenait à l’appelant, en sa qualité de locataire, de régler personnellement ses loyers, ce qu’il n’a pas fait. Le fait qu’une procédure de recours ait été initiée à l’encontre de la décision du CSR ne le dispensait en particulier pas d’une telle obligation. Cela étant, l’appelant n’a pas réglé l’arriéré de loyer dans le délai imparti par l’avis comminatoire qui lui a été adressé le 15 avril 2013. L’intimée était dès lors autorisée, en application de l’art. 257d CO, à résilier le bail en cause moyennant un délai de trente jours, ce qu’elle a valablement fait par formule officielle du 14 juin 2013 pour le 31 juillet 2013. Par ailleurs, l’expulsion a été requise le 5 août 2013, soit après l’expiration du bail (Lachat, le bail à loyer, 2 e éd., Lausanne, 2008, note infrapaginale 88, p. 816). Enfin, il importe peu que, en cas d’admission du recours contre la décision de suppression du revenu d’insertion, le CSR soit cas échéant amené à régler rétroactivement les loyers dus, dès lors que le paiement des arriérés après l’échéance du délai comminatoire reste sans influence sur la validité du congé. Mal fondé, le grief doit ainsi être rejeté.</w:t>
      </w:r>
    </w:p>
    <w:p>
      <w:r>
        <w:rPr>
          <w:b/>
        </w:rPr>
        <w:t>E. 4</w:t>
      </w:r>
    </w:p>
    <w:p>
      <w:r>
        <w:t>En conclusion, l’appel, mal fondé, doit être rejeté dans la procédure de l’art. 312 al. 1 CPC et l’ordonnance querellée confirmée. La cause sera renvoyée au juge de première instance afin qu’il fixe à l’appelant un nouveau délai pour libérer les locaux en cause. L’appel étant d’emblée dépourvu de toute chance de succès, la requête d’assistance judiciaire de l’appelant doit être rejetée (art. 117 let. b CPC). Les frais judiciaires de deuxième instance, arrêtés à 200 fr. (art. 62 al. 3 et 69 al. 1 TFJC [tarif du 28 septembre 2010 des frais judiciaires civils; RSV 270.11.5]), sont mis à la charge de l’appelant qui succombe (art. 106 al. 1 CPC). Il n’y a pas lieu d’allouer des dépens,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