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730 vom 21. Oktober 2013</w:t>
      </w:r>
    </w:p>
    <w:p>
      <w:r>
        <w:t>VD Tribunal cantonal, 2013-10-21, FR</w:t>
      </w:r>
    </w:p>
    <w:p>
      <w:r>
        <w:rPr>
          <w:b/>
        </w:rPr>
        <w:t xml:space="preserve">Quelle: </w:t>
      </w:r>
      <w:r>
        <w:t>https://mcp.opencaselaw.ch/entscheid/vd_findinfo_HC___2013___730</w:t>
      </w:r>
    </w:p>
    <w:p>
      <w:r>
        <w:t>FR: VD_FINDINFO HC / 2013 / 730 du 21 octobre 2013</w:t>
      </w:r>
    </w:p>
    <w:p>
      <w:r>
        <w:t>IT: VD_FINDINFO HC / 2013 / 730 del 21 ottobre 2013</w:t>
      </w:r>
    </w:p>
    <w:p>
      <w:pPr>
        <w:pStyle w:val="Heading2"/>
      </w:pPr>
      <w:r>
        <w:t>Regeste</w:t>
      </w:r>
    </w:p>
    <w:p>
      <w:r>
        <w:t>DIVORCE, OBLIGATION D'ENTRETIEN, PERSONNE DIVORCÉE | 125 al. 1 CC, 308 al. 1 let. a CPC (CH), 308 al. 2 CPC (CH), 310 CPC (CH), 312 al. 1 CPC (CH)</w:t>
      </w:r>
    </w:p>
    <w:p>
      <w:pPr>
        <w:pStyle w:val="Heading2"/>
      </w:pPr>
      <w:r>
        <w:t>Erwägungen</w:t>
      </w:r>
    </w:p>
    <w:p>
      <w:r>
        <w:rPr>
          <w:b/>
        </w:rPr>
        <w:t>E. 1</w:t>
      </w:r>
    </w:p>
    <w:p>
      <w:r>
        <w:t>let. a CPC [Code de procédure civile suisse du 19 décembre 2008; RS 272]),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patrimoniales dont la valeur litigieuse est supérieure à 10’000 fr., le présent 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L’état de fait du jugement est conforme aux pièces du dossier et aux autres preuves administrées, de sorte que la cour de céans est à même de statuer.</w:t>
      </w:r>
    </w:p>
    <w:p>
      <w:r>
        <w:rPr>
          <w:b/>
        </w:rPr>
        <w:t>E. 3</w:t>
      </w:r>
    </w:p>
    <w:p>
      <w:r>
        <w:t>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Il n’existe pas de droit à une pension, même en cas de mariage avec impact sur la situation. Le "clean break" l’emporte et il n’y a de pension que si un époux ne peut s’assumer et que l’autre partie a les moyens. L’octroi d’une contribution n’est pas la règle et celui qui y prétend doit fournir les éléments démontrant qu’il y a droit (TF 5A_63/2009 du 20 août 2009, traduit au JT 2010 158). b)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ATF 135 II 59 c. 4.1; ATF 137 III 102 c. 4.1.2).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 mars 2012 c. 3, in FamPra.ch 2012 p. 761 s’agissant d’un mariage ayant duré à peine deux ans) ou en présence d’un déracinement culturel (TF 5A_275/2009 du 25 novembre 2009 c. 2.1; TF 5C.38/2007 du 28 juin 2007 c. 2.8, in FamPra.ch 2007 p. 930). Une position de confiance digne de protection créée par le mariage peut toutefois être retenue pour d’autres motifs également (TF 5A_767/2011 du 1 er juin 2012 c. 5.2, in FamPra.ch 2012 p. 1150; TF 5A_856/2011 du 24 février 2012 c. 2.3).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ATF 137 III 105 c. 4.1.2). Un impact décisif a été notamment nié, s’agissant d’un mariage de six ans, lorsqu’à la séparation des parties en 2008, l’épouse, alors âgée de 44 ans, devait s’attendre à devoir reprendre une activité lucrative et qu’elle a bénéficié d’un délai d’adaptation de plus de quatre ans et a pu se réinsérer professionnellement (TF 5A_446/2012 du 20 décembre 2012 c. 3.2.4).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(TF 5C.169/2006 du 13 septembre 2006 c. 2.6, in FamPra.ch 2007 p. 146). Une détérioration de l’état de santé postérieure au mariage, mais sans lien avec celui-ci, ne crée pas à elle seule une position de confiance (CACI 26 septembre 2012/442). c) Le débiteur d’entretien vivant à l’étranger ne peut se voir imputer un revenu hypothétique de niveau suisse, s’il ne peut être exigé de lui de s’établir en Suisse et s’il avait suffisamment de raisons de quitter la Suisse. Dans un tel cas, il convient de se baser sur le revenu que le débiteur d’entretien perçoit ou pourrait percevoir en son lieu de séjour étranger (FamPra.ch. 2011 p. 510).</w:t>
      </w:r>
    </w:p>
    <w:p>
      <w:r>
        <w:rPr>
          <w:b/>
        </w:rPr>
        <w:t>E. 4</w:t>
      </w:r>
    </w:p>
    <w:p>
      <w:r>
        <w:t>a) En l’espèce, après un arrêt d'appel sur mesures provisionnelles de la juge déléguée de la cour de céans qui avait confirmé le refus d’une contribution d’entretien en faveur de l’épouse en se fondant sur l’art. 176 CC, les premiers juges ont refusé d’allouer une pension à l’appelante sur la base de l’art. 125 CC en se fondant sur la durée de la séparation, sur l’absence de dépendance économique pendant la vie commune et sur le fait qu’aucune pension n’avait été réclamée pendant la séparation (cette dernière affirmation n’est pas tout à fait exacte vu le dépôt d’une requête de mesures provisionnelles en juillet 2012, ce qui représente néanmoins une durée de huit ans sans réclamation). Par surabondance, les premiers juges ont considéré que B.L.________ n’avait de toute façon pas les moyens de payer une pension et qu’aucun revenu hypothétique ne saurait lui être imputé. b) La cour de céans partage l’avis des premiers juges, pour les raisons exposées ci-après. aa) Tout d’abord, nonobstant les dix ans de vie commune, il n’y a en l’espèce pas d’impact économique du mariage sur les époux, et la présomption d’impact découlant de la durée est renversée : les époux n’ont pas eu d’enfants communs et n’ont pas dépendu l’un de l’autre pour leur entretien. L’octroi d’une pension n’est pas la règle et le "clean break" doit ainsi l’emporter. L’absence de toute réclamation de la part de l’épouse entre 2004, date de la séparation, et 2012, date du dépôt d’une requête de mesures provisionnelles, confirme pour autant que de besoin que les époux ne dépendaient pas l’un de l’autre. Ils ont d’ailleurs passé en 2007 devant le juge des mesures protectrices de l’union conjugale une convention réglant les modalités de leur séparation et qui ne prévoyait aucune contribution d’entretien. Or, si une contribution ne se justifiait pas à l’époque sous l’angle de l’art. 176 CC, on ne voit pas comment elle pourrait se justifier, neuf ans après la séparation, sous l’angle de l’art. 125 CC. Il est vrai que, postérieurement à la séparation, l’appelante a perdu son emploi puis perçu le chômage avant de se voir refuser le revenu d’insertion, et qu’elle se trouve dans une situation sociale difficile. Il résulte toutefois des principes que l’on a rappelés plus haut que des difficultés de santé – ou des difficultés psychosociales – ne justifient pas une contribution d’entretien si elles sont postérieures au mariage – a fortiori à la séparation – et sans lien avec l’un comme avec l’autre. bb) Ensuite, au vu de ses revenus modestes et dont rien ne permet de dire qu’ils ne correspondraient pas à la réalité, le mari ne dispose manifestement pas des moyens de payer une pension à l’appelante, quel que soit le montant de celle-ci. On ne saurait par ailleurs imputer à l’intimé un revenu hypothétique. En effet, l’appelante avait renoncé à toute contribution d’entretien en sa faveur déjà bien avant le départ de l’intimé à l’étranger, de sorte que l’on ne saurait reprocher à ce dernier d’avoir intentionnellement cherché à éviter la réalisation d’un revenu en Suisse au détriment de l’appelante, ce d’autant plus que le couple n’avait pas d’enfant en commun à la charge de celle-ci. L’intimé vit en Grèce avec sa compagne actuelle, où tous les deux travaillent, et peut ainsi se prévaloir de raisons suffisantes l’ayant amené à s’établir dans ce pays. Conformément à la jurisprudence, il y a dans un tel cas lieu de se fonder sur le revenu que l’intimé perçoit en Grèce. Au surplus, le devoir d’entretien des enfants mineurs issus d’une autre relation l’emporte (Bastons Bulletti, L'entretien après divorce, SJ 2007 II 86). cc) Enfin, alors que c’est à elle qu’il appartenait d’établir son droit à une pension, la situation patrimoniale de l’appelante est loin d’être claire. Si les difficultés psychosociales qu’elle rencontre sont avérées, elle n’est pas exempte de revenus et on ignore totalement quelles sont ses charges et son lieu de vie. En tout état de cause, elle n’établit donc pas, sauf pour le fait qu’elle n’a pas d’emploi, qu’elle remplisse les conditions d’octroi d’une pension.</w:t>
      </w:r>
    </w:p>
    <w:p>
      <w:r>
        <w:rPr>
          <w:b/>
        </w:rPr>
        <w:t>E. 5</w:t>
      </w:r>
    </w:p>
    <w:p>
      <w:r>
        <w:t>En définitive, l’appel doit être rejeté, en application de l’art. 312 al. 1 CPC, et le jugement entrepris confirmé. La requête d’assistance judiciaire formée par l’appelante est rejetée. L'appel était en effet d'emblée dépourvu de toute chance de succès (art. 117 let. b CPC), les arguments pour contester le jugement de première instance, qui rejetait toute contribution d'entretien par un cumul de motifs convaincants, apparaissant clairement voués à l'échec. L’appelante, qui succombe, doit supporter les frais judiciaires de deuxième instance (art. 106 al. 1 CPC), lesquels sont arrêtés à 600 fr. (art. 63 al. 1 TFJC [tarif des frais judiciaires civils du 28 septembre 2010; RSV 270.11.5]). Il n’y a pas lieu d’allouer des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