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73 vom 4. Februar 2013</w:t>
      </w:r>
    </w:p>
    <w:p>
      <w:r>
        <w:t>VD Tribunal cantonal, 2013-02-04, FR</w:t>
      </w:r>
    </w:p>
    <w:p>
      <w:r>
        <w:rPr>
          <w:b/>
        </w:rPr>
        <w:t xml:space="preserve">Quelle: </w:t>
      </w:r>
      <w:r>
        <w:t>https://mcp.opencaselaw.ch/entscheid/vd_findinfo_HC___2013___73</w:t>
      </w:r>
    </w:p>
    <w:p>
      <w:r>
        <w:t>FR: VD_FINDINFO HC / 2013 / 73 du 4 février 2013</w:t>
      </w:r>
    </w:p>
    <w:p>
      <w:r>
        <w:t>IT: VD_FINDINFO HC / 2013 / 73 del 4 febbraio 2013</w:t>
      </w:r>
    </w:p>
    <w:p>
      <w:pPr>
        <w:pStyle w:val="Heading2"/>
      </w:pPr>
      <w:r>
        <w:t>Regeste</w:t>
      </w:r>
    </w:p>
    <w:p>
      <w:r>
        <w:t>PROTECTION DE L'UNION CONJUGALE, OBLIGATION D'ENTRETIEN, REVENU HYPOTHÉTIQUE, MINIMUM VITAL, ASSISTANCE JUDICIAIRE | 176 al. 1 ch. 1 CC, 176 CC, 122 CPC (CH), 123 CPC (CH), 308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2010; RS 272),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vaudoise du 12 septembre 1979 d'organisation judiciaire; RSV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(ibidem,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L'intimée a produit un onglet de pièces sous bordereau à l'appui de sa réponse sur appel. Seules les pièces postérieures à l'audience du 6 novembre 2012 devant le premier juge sont recevables et seront donc prises en considération dans toute mesure utile.</w:t>
      </w:r>
    </w:p>
    <w:p>
      <w:r>
        <w:rPr>
          <w:b/>
        </w:rPr>
        <w:t>E. 3</w:t>
      </w:r>
    </w:p>
    <w:p>
      <w:r>
        <w:t>L'intimée tient la présente procédure pour sans objet, ou à tout le moins devant être rejetée, au motif que l'appelant s'est acquitté de la pension due et qu'il a ainsi accepté le prononcé entrepris. C'est à juste titre que l'appelant a versé la pension due, malgré l'appel, puisque ce dernier n'a pas d'effet suspensif lorsqu'il porte, comme en l'occurrence, sur une décision de mesures protectrices de l'union conjugale (art. 315 al. 2 CPC). Mal fondé, le grief doit être rejeté.</w:t>
      </w:r>
    </w:p>
    <w:p>
      <w:r>
        <w:rPr>
          <w:b/>
        </w:rPr>
        <w:t>E. 4</w:t>
      </w:r>
    </w:p>
    <w:p>
      <w:r>
        <w:t>L'appelant conteste, pour plusieurs motifs, la pension mise à sa charge pour l'entretien de l'intimée. a) D'après l'art. 176 al. 1 ch. 1 CC (Code civil du 10 décembre 1907;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TF 5A_453/2009 du</w:t>
      </w:r>
    </w:p>
    <w:p>
      <w:r>
        <w:rPr>
          <w:b/>
        </w:rPr>
        <w:t>E. 9</w:t>
      </w:r>
    </w:p>
    <w:p>
      <w:r>
        <w:t>novembre 2009 c. 5.2 ), la fixation de la contribution d'entretien ne devant pas anticiper sur la liquidation du régime matrimonial. Lorsque les parties sont dans une situation matérielle favorable (sur cette notion : TF 5A_288/2008 du 27 août 2008 c. 5.4), il convient ainsi de se fonder sur les dépenses indispensables au maintien des conditions de vie antérieures, qui constitue la limite supérieure du droit à l'entretien (ATF 121 I 97 c. 3b et les arrêts cités; TF 5A_453/2009 du 9 novembre 2009 c. 5.2; 5A_515/2008 du 1 er décembre 2008 c. 2.1; 5A_732/2007 du 4 avril 2008 c. 2.2; 5P.138/2001 du 10 juillet 2001 c. 2a/bb, publié in FamPra.ch 2002 p. 333). Dans les autres cas, le juge peut appliquer la méthode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TF 5C.180/2002 du 20 décembre 2002 c. 5.2.2, in FamPra.ch 2003 pp. 428 ss, 430 et les citations).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(avant tout les primes d’assurance-maladie obligatoire) et les frais de déplacement, s’ils sont indispensables à l’exercice de la profession (François Chaix, Commentaire romand, Code civil I, 2010, n. 9 ad art. 176 CC et les réf. citées). Lorsque le revenu du conjoint auquel une contribution d’entretien est réclamée ne suffit pas pour couvrir ses dépenses incompressibles, aucune contribution d’entretien ne peut être mise à sa charge. En effet, selon un principe général du droit de la famille, le minimum vital du débiteur de l’entretien ne doit pas être entamé (ATF 133 III 57 c. 3). b) Selon la jurisprudence, le juge fixe les contributions d'entretien du droit de la famille – et notamment la contribution pécuniaire à verser par l’un des conjoints à l’autre dans le cadre de mesures protectrices de l’union conjugale (cf. art. 176 al. 1 ch. 1 et 163 al. 1 CC; TF 5A_914/2010 du 10 mars 2011) – en se fondant, en principe, sur le revenu effectif du débiteur ; il peut toutefois s'en écarter et retenir un revenu hypothétique supérieur, pour autant qu'une augmentation correspondante de revenu soit effectivement possible et qu'elle puisse raisonnablement être exigée de lui (TF 5A_736/2008 du 30 mars 2009 c. 4 ; ATF 128 III 4 c. 4, JT 2002 I 294 c.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TF 5C.40/2003 du 6 juin 2003 c. 2.1.1 partiellement publié aux ATF 129 III 577; TF 5A_685/2007 du 26 février 2008 c. 2.3). 5. L’appelant reproche à la Présidente du tribunal de ne pas avoir retenu, dans le calcul de ses charges, les frais relatifs à sa psychothérapie et à sa médication ou alors, à tout le moins, le montant correspondant à la franchise de son assurance-maladie. C’est à juste titre que le premier juge n’a pas tenu compte des frais de psychothérapie et de pharmacologie allégués. En effet, ceux-ci doivent être couverts par l’assurance maladie. Par ailleurs, au regard de ses revenus et de sa situation familiale, l’appelant ne saurait choisir un prestataire de soins non remboursé par son assurance. On ne saurait non plus tenir compte du montant de la franchise de l’assurance-maladie de l’intéressé, dès lors que les éléments du dossier ne permettent pas d’affirmer que celui-ci doit assumer des frais médicaux dépassant cette franchise. En effet, selon le certificat médical du 6 août 2012, l'appelant suit un traitement psychique et psychopharmacologique depuis le 9 juillet 2012 en raison d’un trouble anxio-dépresssif réactionnel à une vie de couple vécue comme traumatisante. Il a allégué, dans le cours de la procédure, qu’il était victime de violences conjugales, que son épouse proférait régulièrement des menaces et qu’il ne supportait plus les alcoolisations répétées de celle-ci. Or, un délai au 30 novembre 2012 a été imparti à l’intimée pour quitter le domicile conjugal, de sorte que les conflits conjugaux ont dû nécessairement cesser ou, à tout le moins, s’atténuer de manière importante. De plus, l’appelant n’allègue, ni ne démontre, que son état ne se serait pas amélioré depuis la séparation effective des parties. Il ne produit aucune nouvelle attestation de son psychiatre, ni aucune nouvelle facture attestant qu’il poursuivrait encore à l’heure actuelle sa thérapie ou sa médication. Mal fondé, ce moyen doit être rejeté. 6. L'appelant fait également grief au premier juge de ne pas avoir tenu compte des frais de sa formation, alors que celle-ci est impérative pour la poursuite de son activité professionnelle. On ne saurait reprocher au premier juge de ne pas avoir tenu compte des frais de formation de l’appelant. En effet, d’une part, il ne s’agit pas d’une dette assumée avant la fin du ménage commun aux fins de l’entretien des deux époux (cf. ATF 127 III 289 c. 2a/bb). D’autre part, les pièces produites ne permettent pas d’attester que cette formation serait obligatoire pour la poursuite de l’activité lucrative de l’appelant. Dans sa déclaration du 29 octobre 2012, l’employeur de l’intéressé affirme uniquement qu’il est impératif que l’appelant suive celle formation afin qu’il puisse développer son activité de psychologue en son sein, sans autres précisions. Enfin, la situation du ménage ne permet pas, en l’état, une telle dépense. Au demeurant, il résulte des fiches de salaire figurant au dossier que l’appelant a réduit son taux d’activité de 100 à 80 % à partir du 1 er juin 2012 et à 60 % dès le 1 er juillet 2012, soit plus précisément durant la période où il a déposé sa requête de mesures protectrices. Il est difficile de comprendre et de justifier cette réduction. En effet, l’appelant a des obligations d’entretien et ses seuls problèmes de santé ne justifient pas la diminution du taux de travail, aucun certificat ne démontrant par ailleurs une incapacité de travail quelconque. Dans ces conditions, on doit admettre qu’un revenu hypothétique, correspondant à son salaire antérieur, pourrait être imputé à l’appelant et que ses éventuelles charges supplémentaires seraient ainsi largement couvertes. Partant, ce second grief doit aussi être rejeté. 7. L’appelant reproche encore au premier juge de ne pas avoir imputé un revenu hypothétique à l’intimée, alors que celle-ci est en mesure de trouver un emploi rémunéré ou alors à tout le moins, de diminuer son déficit mensuel en requérant l’aide à laquelle elle a droit. L’intimée est psychologue de formation. Originaire d’Ukraine, elle ne maîtrise pas le français, de sorte qu’elle ne pourra que très difficilement trouver un emploi en adéquation avec sa formation. Elle suit cependant des cours de français. Elle a effectué, en vain, de nombreuses recherches d’emploi et ce, également en qualité d’aide- soignante. Elle a produit un courrier de l’assurance-chômage attestant qu’elle n’a droit à aucune prestation sociale. Dans ces conditions, on ne saurait lui reprocher une quelconque passivité dans ses recherches. S’agissant de son état de santé, il résulte du courrier du Dr [...] du 26 octobre 2012, que l’intimée présente, depuis plus d’une dizaine d’années, des douleurs plantaires invalidantes exacerbées lors de la marche. Au regard de l’ensemble de ces éléments, on ne saurait, dans l’immédiat et à ce stade de la procédure, imputer à l’intimée un revenu hypothétique, étant relevé qu’il convient de lui laisser un certain laps de temps pour trouver du travail et qu’elle doit à l’évidence poursuivre ses recherches d’emploi afin de pouvoir acquérir son autonomie le plus rapidement possible. Ce dernier grief doit en conséquence être rejeté. 8. Au vu de ce qui précède, l'appel doit être rejeté et le prononcé entrepris confirmé. Les parties ne disposant pas des ressources nécessaires pour assurer la défense de leurs intérêts, leurs requêtes d'assistance judiciaire sont admises pour la procédure d'appel. Les frais judiciaires de deuxième instance, fixés à 600 fr. (art. 65 al. 1 TFJC [tarif des frais judiciaires civils du 28 septembre 2010; RSV 270.11.5; art. 122 al. 1 let. b CPC), sont laissés à la charge de l'Etat. Me Sébastien Pedroli a produit une liste détaillée de ses opérations annonçant 9h30 de travail effectué par son stagiaire et 30 fr. 50 de débours. Ce décompte peut être admis, de sorte qu'il y a lieu d'arrêter son indemnité d'office à 1'161 fr. 55, correspondant à 9h30 de travail à un tarif horaire de 110 fr., plus 30 fr. 50 de débours et 86 fr. 05 de TVA. Me Simon Perroud a également produit une liste détaillée de ses opérations annonçant 12h54 de travail effectué par sa stagiaire et 6h40 de travail effectué par lui-même. Vu le litige, d'une relative simplicité, et l'acte de procédure à déposer, ce décompte paraît légèrement excessif et doit être réduit. L'indemnité d'office de Me Simon Perroud est ainsi arrêtée à 1'112 fr. 40, correspondant à 7h de travail à un tarif horaire de 110 fr. et à 3h de travail à un tarif horaire de 180 fr., plus 50 fr. de débours et 82 fr. 40 de TVA. Les bénéficiaires de l'assistance judiciaire sont, dans la mesure de l'art. 123 CPC, tenus au remboursement des frais judiciaires et de l'indemnité à leur conseil d'office mis à la charge de l'Etat. L'appelant, qui succombe, versera à l'intimée des dépens de deuxième instance arrêtés à 1'500 francs. Par ces motifs, la juge déléguée de la Cour d’appel civile du Tribunal cantonal, statuant à huis clos, prononce : I. L’appel est rejeté. II. L'ordonnance est confirmée. III. Les requêtes d'assistance judiciaire sont admises. IV. Les frais judiciaires de deuxième instance, arrêtés à 600 fr. (six cents francs), sont laissés à la charge de l'Etat. V. L'indemnité d'office de Me Sébastien Pedroli, conseil de l'appelant, est arrêtée à 1'161 fr. 55 (mille cent soixante et un francs et cinquante centimes), TVA et débours compris, et celle de Me Simon Perroud, conseil de l'intimée, à 1'112 fr. 40 (mille cent douze francs et quarante centimes), TVA et débours compris. VI. Les bénéficiaires de l'assistance judiciaire sont, dans la mesure de l'art. 123 CPC, tenus au remboursement des frais judiciaires et de l'indemnité à leur conseil d'office mis à la charge de l'Etat. VII. L'appelant I.________ doit verser à l'intimée la somme de 1'500 fr. (mille cinq cents francs), à titre de dépens de deuxième instance. VIII. L'arrêt motivé est exécutoire. La juge déléguée : La greffière : Du 6 février 2013 Le dispositif de l'arrêt qui précède est communiqué par écrit aux intéressés. La greffière : Du L'arrêt qui précède, dont la rédaction a été approuvée à huis clos, est notifié en expédition complète, par l'envoi de photocopies à : ‑ Me Sébastien Pedroli (pour I.________), ‑ Me Simon Perroud (pour V.________).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civile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