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724 vom 7. November 2013</w:t>
      </w:r>
    </w:p>
    <w:p>
      <w:r>
        <w:t>VD Tribunal cantonal, 2013-11-07, FR</w:t>
      </w:r>
    </w:p>
    <w:p>
      <w:r>
        <w:rPr>
          <w:b/>
        </w:rPr>
        <w:t xml:space="preserve">Quelle: </w:t>
      </w:r>
      <w:r>
        <w:t>https://mcp.opencaselaw.ch/entscheid/vd_findinfo_HC___2013___724</w:t>
      </w:r>
    </w:p>
    <w:p>
      <w:r>
        <w:t>FR: VD_FINDINFO HC / 2013 / 724 du 7 novembre 2013</w:t>
      </w:r>
    </w:p>
    <w:p>
      <w:r>
        <w:t>IT: VD_FINDINFO HC / 2013 / 724 del 7 novembre 2013</w:t>
      </w:r>
    </w:p>
    <w:p>
      <w:pPr>
        <w:pStyle w:val="Heading2"/>
      </w:pPr>
      <w:r>
        <w:t>Regeste</w:t>
      </w:r>
    </w:p>
    <w:p>
      <w:r>
        <w:t>BAIL À LOYER, RESTITUTION ANTICIPÉE, LOCATAIRE DE REMPLACEMENT, CONCLUSIONS, CONTRAT DE CONCIERGERIE | 264 al. 1 CO, 264 al. 2 CO, 264 CO</w:t>
      </w:r>
    </w:p>
    <w:p>
      <w:pPr>
        <w:pStyle w:val="Heading2"/>
      </w:pPr>
      <w:r>
        <w:t>Erwägungen</w:t>
      </w:r>
    </w:p>
    <w:p>
      <w:r>
        <w:rPr>
          <w:b/>
        </w:rPr>
        <w:t>E. 1</w:t>
      </w:r>
    </w:p>
    <w:p>
      <w:r>
        <w:t>a) Selon l'art. 319 al. 1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étant inférieure à ce montant, c’est la voie du recours qui est ouverte. b)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 Formé en temps utile par la partie locataire qui y a intérêt, le recours est recevable à la forme. c) S'il est vrai que – contrairement à l'appel – le recours déploie avant tout un effet cassatoire, le recourant ne peut se limiter à conclure à l'annulation de la décision attaquée, mais doit prendre des conclusions au fond, sous peine d'irrece-vabilité, de façon à permettre à l'autorité supérieure de statuer à nouveau dans les cas où les conditions de l'art. 327 al. 3 let. b sont réunies (Jeandin, CPC commenté, Bâle 2011, n. 5 ad art. 321 CPC; CREC 13 octobre 2011/187).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 recourante se borne à conclure à l'annulation du jugement entrepris et au maintien des oppositions qu'elles a formulées, sans prendre de réelles conclusions au fond. Il est douteux que de telles conclusions suffisent pour entrer en matière. La question peut toutefois rester ouverte dans la mesure où le recours doit être rejeté pour les motifs développés ci-après.</w:t>
      </w:r>
    </w:p>
    <w:p>
      <w:r>
        <w:rPr>
          <w:b/>
        </w:rPr>
        <w:t>E. 2</w:t>
      </w:r>
    </w:p>
    <w:p>
      <w:r>
        <w:t>a) La recourante ne conteste pas les faits tels que retenus par les premiers juges, à savoir que les contrats litigieux sont formellement deux actes distincts, qui ont été signés par deux parties contractantes différentes, soit par la propriétaire de l'appartement loué s'agissant du contrat de bail et par la communauté des copropriétaires de l'immeuble en ce qui concerne le contrat de conciergerie. Elle admet également que lors des discussions s'agissant de la conclusion du contrat de bail à loyer, l'époux de l'intimée, B.B.________, l'avait expressément avisée de ce qu'il n'était pas compétent pour conclure le contrat de conciergerie. L.________ conteste toutefois l'interprétation du contrat faite par le Tribunal des baux et soutient que le contrat de conciergerie n'a été que l'accessoire de la relation contractuelle principale de bail. Elle estime que tant à la conclusion du contrat que lors de sa résiliation, les deux aspects des relations contractuelles ont présenté une entité économique globale et unique. b) Les premiers juges ont considéré qu'à la lumière de l'ensemble des circonstances, il fallait retenir que la recourante ne pouvait de bonne foi croire que le contrat de bail et celui de travail qu'elle avait signés étaient unis matériellement. Ils ont en outre retenu que faute d'autres éléments propres à démontrer la volonté des cocontractants de lier ces deux actes, la seule présence, dans le contrat de travail, d'une clause type prévoyant la résiliation automatique du bail du "logement de service" en cas de congé donné pour les rapports de travail ne suffisait pas à légitimer une telle confiance. Au surplus, cette interprétation s'imposait à plus forte raison que la recourante et son colocataire avaient résilié de manière séparée les rapports de bail à loyer et de travail. c)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Cette interprétation subjective relève de l’appréciation des preuves et constitue une question de fait (ATF 132 III 626 c. 3.1).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ATF 130 III 47, JT 2004 I 268; ATF 129 III 118, JT 2003 I 144). Si la volonté réelle des parties ne peut être établie ou si celle-ci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 citées). Le principe de la confiance permet d’imputer à une partie le sens objectif de sa déclaration ou de son comportement même si celui-ci ne correspond pas à la volonté intime de l’intéressé (ATF 133 III 61 précité et les réf. citées). d) En l'espèce, il n'a pas été possible d'établir la réelle et commune intention des parties. Il y a donc lieu de recourir à l'interprétation dite objective. A cet égard, il faut relever que le contrat de bail ne mentionne pas l'existence du contrat de conciergerie et que ce dernier précise bien, sans ambiguïté, l'absence de logement ou appartement de service. En outre, le contrat de bail prévoit un délai de résiliation de quatre mois à l'avance, alors que le contrat de conciergerie fait état d'un délai de résiliation de trois mois seulement, ce qui a du reste amené L.________ et J.________ à résilier séparément les contrats de bail et de conciergerie. Au surplus, la recourante a admis que lors des discussions ayant entouré la conclusion du contrat de bail, B.B.________ l'avait expressément informée qu'il n'était pas en mesure de conclure le contrat de conciergerie. Partant, nonobstant la clause figurant à l'art. 1 du contrat de conciergerie, qui prévoit que la résiliation du contrat de conciergerie entraîne automatiquement celle du logement de service, la recourante ne pouvait inférer de bonne foi, compte tenu des circonstances, que les deux contrats litigieux étaient liés.</w:t>
      </w:r>
    </w:p>
    <w:p>
      <w:r>
        <w:rPr>
          <w:b/>
        </w:rPr>
        <w:t>E. 3</w:t>
      </w:r>
    </w:p>
    <w:p>
      <w:r>
        <w:t>a) La recourante prétend également que la candidature de W.________ était adéquate et qu'il a été établi que ce locataire de remplacement ne pouvait lui-même reprendre le bail qu'en assumant la fonction de concierge. Ainsi, L.________ considère avoir proposé à sa bailleresse un locataire disposé à reprendre le contrat aux conditions valables jusqu'à la résiliation, de sorte qu'elle devait être libérée de ses obligations. La recourante ne discute toutefois plus de la candidature de C.________. b) Selon l'art. 264 al. 1 CO (Code des obligations du 30 mars 1911; RS 220),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(alinéa 2). c) Les arguments de la recourante ne peuvent être suivis. On doit au contraire considérer, à l'instar de ce qu'ont retenu les premiers juges, que dans la mesure où les contrats de bail et de conciergerie étaient indépendants l'un de l'autre, la candidature de W.________ et H.________ ne pouvait être retenue. Ces candidats faisaient en effet dépendre la reprise du bail de l'attribution en leur faveur de la conciergerie, de sorte qu'on ne peut pas retenir qu'ils étaient disposés à reprendre le bail aux mêmes conditions au sens de l'art. 264 CO. L.________ ne s'est donc pas valablement libérée de ses obligations envers la bailleresse, comme retenu par les premiers juges.</w:t>
      </w:r>
    </w:p>
    <w:p>
      <w:r>
        <w:rPr>
          <w:b/>
        </w:rPr>
        <w:t>E. 4</w:t>
      </w:r>
    </w:p>
    <w:p>
      <w:r>
        <w:t>En définitive, le recours doit être rejeté dans la mesure de sa recevabilité, en application de l’art. 322 al. 1 CPC, et la décision des premiers juges confirmée. Les frais judiciaires de deuxième instance, arrêtés à 400 fr. (art. 69 al. 1 TFJC [tarif des frais judiciaires civils du 28 septembre 2010; RSV 270.11.5]), sont mis à la charge de la recourante, qui succombe (art. 106 al. 1 CPC). L’intimée n’ayant pas été invitée à se déterminer, il n’y a pas lieu à l’allocation de dépens de deuxième instance. Par ces motifs, la Chambre des recours civile du Tribunal cantonal, statuant à huis clos, en application de l'art. 322 al. 1 CPC, prononce : I.              Le recours est rejeté dans la mesure où il est recevable. II.              Le jugement est confirmé. III. Les frais judiciaires, arrêtés à 400 fr. (quatre cents francs), sont mis à la charge de la recourante. IV. L’arrêt motivé est exécutoire. Le président :               La greffière : Du</w:t>
      </w:r>
    </w:p>
    <w:p>
      <w:r>
        <w:rPr>
          <w:b/>
        </w:rPr>
        <w:t>E. 8</w:t>
      </w:r>
    </w:p>
    <w:p>
      <w:r>
        <w:t>novembre 2013 Le dispositif de l'arrêt qui précède est communiqué par écrit aux intéressés. La greffière : Du L'arrêt qui précède, dont la rédaction a été approuvée à huis clos, est notifié en expédition complète, par l'envoi de photocopies, à : ‑ Me Olivier Derivaz (pour L.________), ‑ Me Damien Bender (pour A.B.________).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