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723 vom 6. November 2013</w:t>
      </w:r>
    </w:p>
    <w:p>
      <w:r>
        <w:t>VD Tribunal cantonal, 2013-11-06, FR</w:t>
      </w:r>
    </w:p>
    <w:p>
      <w:r>
        <w:rPr>
          <w:b/>
        </w:rPr>
        <w:t xml:space="preserve">Quelle: </w:t>
      </w:r>
      <w:r>
        <w:t>https://mcp.opencaselaw.ch/entscheid/vd_findinfo_HC___2013___723</w:t>
      </w:r>
    </w:p>
    <w:p>
      <w:r>
        <w:t>FR: VD_FINDINFO HC / 2013 / 723 du 6 novembre 2013</w:t>
      </w:r>
    </w:p>
    <w:p>
      <w:r>
        <w:t>IT: VD_FINDINFO HC / 2013 / 723 del 6 novembre 2013</w:t>
      </w:r>
    </w:p>
    <w:p>
      <w:pPr>
        <w:pStyle w:val="Heading2"/>
      </w:pPr>
      <w:r>
        <w:t>Regeste</w:t>
      </w:r>
    </w:p>
    <w:p>
      <w:r>
        <w:t>DIVORCE, MESURE PROVISIONNELLE, OBLIGATION D'ENTRETIEN, REVENU HYPOTHÉTIQUE | 285 al. 1 CC, 308 al. 1 let. b CPC (CH)</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non patrimoniales ou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interjeté en temps utile par une partie qui y a intérêt (art. 59 al. 2 let. a CPC) et portant sur des conclusions qui, capitalisées selon l'art. 92 al. 2 CPC, sont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Tappy, Les voies de droit du nouveau Code de procédure civile, in JT 2010 III 115, spéc. pp. 134 à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le cas où le premier juge a violé cette maxime en omettant de faire porter l’instruction sur un point pertinent demeurant réservé, mais pas aux litiges relevant de la maxime d’office, par exemple ceux portant sur la situation d’enfants mineurs en droit matrimonial à tout le moins lorsque le juge de première instance a violé la maxime inquisitoire illimitée (JT 2011 III 43). c) En l’espèce, la contribution objet du litige sert à l’entretien d’enfants mineurs. La maxime inquisitoire illimitée s’applique et les pièces produites par l’appelant sont ainsi recevables.</w:t>
      </w:r>
    </w:p>
    <w:p>
      <w:r>
        <w:rPr>
          <w:b/>
        </w:rPr>
        <w:t>E. 3</w:t>
      </w:r>
    </w:p>
    <w:p>
      <w:r>
        <w:t>L'appelant considère que le revenu hypothétique de 4'500 fr. qui lui est imputé n'est étayé par aucune pièce au dossier. Il fait valoir qu'il n’a pu acquérir d’expérience dans la restauration en Suisse et qu’il n’a reçu aucune réponse positive aux 147 offres d’emploi faites entre septembre 2012 et juin 2013 dans des domaines variés touchant à plus de onze activités professionnelles différentes, telles que manœuvre, aide-foreur, cariste, chauffeur-livreur, etc. L'appelant relève qu’il a tout mis en œuvre pour trouver un emploi avant l’échéance de son droit au chômage et qu'il a effectué 27 offres d’emploi au mois de juin 2013, de sorte qu’on ne saurait lui reprocher un fainéantisme ou un laxisme face à ses obligations parentales. Au vu de ces éléments, il soutient qu’on ne peut lui imputer un revenu hypothétique. a) 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(ATF 128 III 4 c. 4a pp. 5-6; TF 5A_99/2011 du 26 septembre 2011 c. 7.4.1; TF 5A_18/2011 du 1 er juin 2011 c. 3.1.1;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précités TF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pp. 7s). Comme l’a relevé à juste titre le premier juge,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in La Pratique de la famille [FamPra.ch] 2013 p. 236).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Juge délégué CACI 15 août 2012/382). Le fait qu'un débirentier sans emploi n'ait pas vu ses indemnités suspendues, à titre de sanction, par une assurance sociale (chômage, assistance sociale) ne dispense pas le juge civil d'examiner si l'on peut lui imputer un revenu hypothétique. Il en va de même lorsque le débirentier bénéficie du revenu d'insertion.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 d'indemnités de chômage sans suspension ou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b) En l’espèce, l’appelant a fait de nombreuses offres de services dans plusieurs domaines d’activité, en vain. Se pose dès lors la question de savoir si on peut admettre qu’il a fait tout ce qui était raisonnablement exigible de sa part pour trouver un emploi, comme il le soutient. Il n’est pas contesté que l’appelant, âgé de 43 ans et en bonne santé, est au bénéfice d’une formation de cuisinier. Cette formation lui a du reste permis de trouver un emploi en Suisse dans la restauration en juin 2009. A cela s’ajoute que l’appelant a travaillé pendant des années, mettant ainsi à profit sa capacité de gain, dont il dispose manifestement, son aptitude au placement n’ayant en particulier pas été remise en cause par l’autorité administrative. Compte tenu de son âge, de son bon état de santé, de sa formation et de son expérience professionnelle, et au vu des pièces produites, qui tendent à démontrer qu’il dispose bien d’une capacité de gain, on peut raisonnablement exiger de l’appelant qu’il exerce une activité lucrative. S’agissant plus particulièrement du type d’activité professionnelle que l’appelant peut raisonnablement devoir accomplir, le premier juge a estimé que l’intéressé pourrait œuvrer dans le domaine de la restauration, considérant qu’une telle possibilité est effective, compte tenu de la formation de l’appelant et du fait qu’il a travaillé en Suisse dans ce domaine. Cette appréciation ne prête pas le flanc à la critique: compte tenu de sa formation et de son expérience, l’appelant doit pouvoir travailler dans le domaine de la restauration, activité qui peut effectivement être accomplie. Lors de l'audience du 16 juillet 2013, l'intéressé a fait valoir qu'il n'avait plus travaillé dans la restauration depuis son arrivée en Suisse car ses horaires étaient incompatibles avec ceux de son épouse du temps de la vie commune. Le couple s'est toutefois séparé en juillet 2010 et il résulte des fiches de recherches personnelles que l'appelant n'a jamais postulé dans le domaine de la restauration jusqu'en juillet de cette année, alors qu'il bénéficie d'une formation dans ce domaine. Quant au revenu qui pourrait être obtenu dans ce domaine, il résulte de l’Enquête sur la structure des salaires (ci-après: ESS) réalisée par l'Office fédéral de la statistique que le salaire mensuel brut moyen réalisable pour un homme dans le canton de Vaud dans le domaine de la restauration était en 2010 de 4'326 fr., tous niveaux de qualification confondus. Selon la Convention collective dans la branche de l’hôtellerie et de la restauration (ci-après : CCT), le salaire mensuel brut minimal est de 4'440 fr., part au treizième salaire comprise. Sur ces bases, le premier juge a considéré que l’appelant serait en mesure de réaliser au minimum un salaire mensuel brut compris entre 4'300 fr. et 4'450 fr., et qu'au vu de son expérience et de son âge, ce montant pourrait être augmenté à 4'500 fr. net, part au treizième salaire comprise, s’il trouvait l’emploi de cuisinier qui peut être raisonnablement exigé de lui. Ce salaire n’est pas critiquable, dès lors qu'il se fonde sur l’ESS et la CCT. Il correspond en outre au gain assuré de 4'545 fr. retenu par l’autorité de chômage pour déterminer le droit aux prestations de cette assurance. Dans la mesure où l’entretien de trois enfants mineurs est en jeu, la solution stricte adoptée par le juge apparaît justifiée. L’appelant n’a au demeurant pas démontré en deuxième instance avoir trouvé, fût-ce de manière provisoire, un travail peu rémunéré. A cet égard, il y lieu de relever que le montant de la contribution en cause, par 1'500 fr., correspond à ce que la jurisprudence impose à un débiteur de contribution de payer pour trois enfants lorsqu’il réalise un revenu net de 4'500 fr. (application de la proportion de 30 à 35%, Bastons Bulletti, L'entretien après divorce : méthodes de calcul, montant, durée et limites, in SJ 2007 II 77 ss, spéc. p. 107 s.; RSJ 1984 p. 392 n° 4 et note p. 393; Meier/Stettler, Droit de la filiation, 4ème éd., Zurich 2009, n. 978, pp. 567-568; TF 5A_84/2007 du 18 septembre 2007 c. 5.1). Dans ces conditions, compte tenu de son âge et de sa formation, le premier juge pouvait valablement imputer à l’appelant un revenu hypothétique de 4'500 fr. par mois, lui permettant de participer à l’entretien de ses trois enfants par le versement d’une contribution mensuelle de 1'500 francs.</w:t>
      </w:r>
    </w:p>
    <w:p>
      <w:r>
        <w:rPr>
          <w:b/>
        </w:rPr>
        <w:t>E. 4</w:t>
      </w:r>
    </w:p>
    <w:p>
      <w:r>
        <w:t>Au vu de ce qui précède, l’appel doit être rejeté et l’ordonnance confirmée. Les frais judiciaires de deuxième instance, arrêtés à 600 fr. (art. 65 al. 3 TFJC [tarif des frais judiciaires civils du 28 septembre 2010; RSV 270.11.5]), sont laissés à la charge de l’Etat (art. 122 al. 1 let. b CPC), dès lors que l'appelant qui succombe bénéficie de l’assistance judiciaire. En sa qualité de conseil d’office de l'appelant, Me Laure Chappaz a droit à une rémunération équitable pour ses opérations et débours dans la procédure d’appel (art. 122 al. 1 let. a CPC). Celle-ci a produit, en date du 4 novembre 2013, une liste des opérations indiquant 10.6 heures de travail consacré à la procédure de deuxième instance. Une indemnité correspondant à 7 heures de travail d'avocat, au tarif horaire de 180 fr. hors TVA (art. 2 al. 1 let. a et b RAJ [Règlement sur l'assistance judiciaire en matière civile, RSV 211.02.3]), apparaît toutefois suffisante et adéquate au regard des opérations effectuées. L’indemnité d’office due à Me Chappaz doit ainsi être arrêtée à 1'260 fr. pour ses honoraires, plus 100 fr. 80 de TVA au taux de 8% et un montant de 96 fr. 80, TVA comprise, pour ses débours, soit une indemnité totale de 1'457 fr. 60. Me Virginie Rodigari, conseil d’office de l'intimée, a également droit à une rémunération équitable pour ses opérations et débours dans la procédure d’appel. Celle-ci a produit, le 31 octobre 2013, une liste des opérations indiquant 2 heures et 18 minutes de travail consacré à la procédure de deuxième instance. L’indemnité d’office due à Me Rodigari doit ainsi être arrêtée à 414 fr. pour ses honoraires, plus 33 fr. 10 de TVA et 46 fr. 10, TVA comprise, pour ses débours, soit une indemnité totale de 493 fr. 20. Les bénéficiaires de l’assistance judiciaire sont, dans la mesure de l’art. 123 CPC, tenus au remboursement des frais judiciaires et de l’indemnité du conseil d’office mis à la charge de l’Etat. L’appelant ayant succombé à son appel, des dépens de deuxième instance, arrêtés à 500 fr., sont mis à sa charge en faveur de l’intimée (art. 122 al. 1 let. d CPC). Par ces motifs, la juge déléguée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Laure Chappaz, conseil d’office de l’appelant, est arrêtée à 1'457 fr. 60 (mille quatre cent cinquante-sept francs et soixante centimes), celle de Me Virginie Rodigari, conseil de l’intimée, à 493 fr. 20 (quatre cent nonante-trois francs et vingt centimes). V. Les bénéficiaires de l’assistance judiciaire sont, dans la mesure de l’art. 123 CPC, tenus au remboursement des frais judiciaires et de l’indemnité du conseil d’office mis à la charge de l’Etat. VI. L’appelant Rui Manuel De Carvalho Barbosa Silva doit verser à l’intimée Gloria Pirez Varela Barbosa Silva la somme de 500 fr. (cinq cents francs) à titre de dépens de deuxième instance. VII. L’arrêt motivé est exécutoire. La juge déléguée : La greffière : Du</w:t>
      </w:r>
    </w:p>
    <w:p>
      <w:r>
        <w:rPr>
          <w:b/>
        </w:rPr>
        <w:t>E. 8</w:t>
      </w:r>
    </w:p>
    <w:p>
      <w:r>
        <w:t>novembre 2013 Le dispositif de l'arrêt qui précède est communiqué par écrit aux intéressés. La greffière : Du L'arrêt qui précède, dont la rédaction a été approuvée à huis clos, est notifié en expédition complète, par l'envoi de photocopies à : ‑ Me Laure Chappaz (pour F.________), ‑ Me Virginie Rodigari (pour A.M.________).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