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710 vom 14. November 2013</w:t>
      </w:r>
    </w:p>
    <w:p>
      <w:r>
        <w:t>VD Tribunal cantonal, 2013-11-14, FR</w:t>
      </w:r>
    </w:p>
    <w:p>
      <w:r>
        <w:rPr>
          <w:b/>
        </w:rPr>
        <w:t xml:space="preserve">Quelle: </w:t>
      </w:r>
      <w:r>
        <w:t>https://mcp.opencaselaw.ch/entscheid/vd_findinfo_HC___2013___710</w:t>
      </w:r>
    </w:p>
    <w:p>
      <w:r>
        <w:t>FR: VD_FINDINFO HC / 2013 / 710 du 14 novembre 2013</w:t>
      </w:r>
    </w:p>
    <w:p>
      <w:r>
        <w:t>IT: VD_FINDINFO HC / 2013 / 710 del 14 novembre 2013</w:t>
      </w:r>
    </w:p>
    <w:p>
      <w:pPr>
        <w:pStyle w:val="Heading2"/>
      </w:pPr>
      <w:r>
        <w:t>Regeste</w:t>
      </w:r>
    </w:p>
    <w:p>
      <w:r>
        <w:t>BLOCAGE, COMPTE BANCAIRE, PROTECTION DE L'UNION CONJUGALE, MODIFICATION DES CIRCONSTANCES | 179 al. 1 CC</w:t>
      </w:r>
    </w:p>
    <w:p>
      <w:pPr>
        <w:pStyle w:val="Heading2"/>
      </w:pPr>
      <w:r>
        <w:t>Erwägungen</w:t>
      </w:r>
    </w:p>
    <w:p>
      <w:r>
        <w:rPr>
          <w:b/>
        </w:rPr>
        <w:t>E. 1</w:t>
      </w:r>
    </w:p>
    <w:p>
      <w:r>
        <w:t>L’appel est recevable contre les ordonnances de mesures protectrices de l’union conjugale, lesquelles doivent être considérées comme des décisions provisionnelles au sens de l’art. 308 al. 1 let. b CPC (Code de procédure civile du 19 décembre 2008 ; RS 272) (Tappy, Les voies de droit du nouveau Code de procédure civile, JT 2010 III 121 ; ATF 137 III 475 c. 4.1), dans les causes non patrimoniales ou dans les affaires patrimoniales si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y a intérêt (art. 59 al. 2 let. a CPC) et portant sur des conclusions qui, capitalisées selon l'art. 92 al. 2 CPC, sont supérieures à 10'000 fr., l'appel est recevable.</w:t>
      </w:r>
    </w:p>
    <w:p>
      <w:r>
        <w:rPr>
          <w:b/>
        </w:rPr>
        <w:t>E. 2</w:t>
      </w:r>
    </w:p>
    <w:p>
      <w:r>
        <w:t>a) L’appelant soutient que l’ouverture d’une procédure de divorce en France et d’une procédure de mesures protectrices de l’union conjugale en Suisse ne constitue pas une mise en danger sérieuse et actuelle des intérêts de la famille. Il en veut pour preuve que le Tribunal fédéral, dans son arrêt du 19 juillet 2013, n’a fait état d’aucun des prétendus actes malveillants cités par le premier juge, à savoir la coupure d’électricité et le retrait des plaques du véhicule [...]. Par surabondance, il ajoute que la Dresse [...] a été condamnée pour diffamation et faux certificat médical par négligence, que Mme [...] a été condamnée pour faux témoignage lors de son audition du 4 septembre 2012, que son épouse a contribué à la mise en œuvre de ce faux témoignage et que le blocage des comptes reposait sur la nécessité de payer les frais d’écolage des enfants, lesquels avaient en réalité été réglés un mois auparavant. b) Aux termes de l’art. 179 al. 1 CC, à la requête d’un époux, le juge ordonne les modifications commandées par les faits nouveaux et rapporte les mesures prises lorsque les causes qui les ont déterminées n’existent plus. Une fois que des mesures protectrices de l'union conjugale ou des mesures provisionnelles dans la procédure en divorce ont été ordonnées, elles ne peuvent être modifiées qu'aux conditions de l'art. 179 CC, applicable directement pour les premières, par renvoi de l'art. 276 al. 1 CPC pour les secondes. Aux termes de l'art. 179 al. 1 1 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5A_502/2010 du 25 juillet 2011 c. 3.2.2, publié in FamPra.ch 2011 p. 993 ; TF 5A_183/2010 du 19 avril 2010 c. 3.3.1 ; TF 5A_667/2007 du 7 octobre 2008 c. 3.3).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 2 ; TF 5A_720/2011 du 8 mars 2012 c. 4.1.2 et réf. ; TF 5A_811/2012 du 18 février 2013 c.3.2 et réf.). Les mesures protectrices prises avant la litispendance de l'action en divorce restent en vigueur, tant qu'elles n'ont pas été annulées ou modifiées par le juge des mesures provisoires (ATF 129 III 60, JT 2003 I 45 ; cf. art. 276 al. 2 CPC). Si des faits nouveaux justifient une modification de la réglementation antérieure, le juge du divorce est alors compétent pour modifier ou révoquer les mesures ordonnées (ATF 129 III 60, JT 2003 I 45 ; TF 5A_183/2010 du 19 avril 2010 c. 3.3.1). L'introduction d'une action en divorce n'est toutefois en soi pas une circonstance de nature à permettre une modification des mesures protectrices antérieures (Juge délégué CACI 14 mars 2011/12). c) Dans son arrêt du 21 novembre 2012, le juge délégué de la Cour de céans a retenu que A.R.________ avait fait preuve d’un manque de transparence dans l’exécution de son devoir de renseigner, ce qui justifiait déjà en soi les mesures de blocage prises. De plus, le risque d’une mise en danger des intérêts matériels de la famille était d’autant plus sérieux que l’appelant était citoyen français, qu’il avait ouvert action en divorce à Paris, qu’il avait perdu son emploi en Suisse et que l’essentiel de son patrimoine mobilier et immobilier se trouvait à l’étranger. Dans son arrêt du 19 juillet 2013, le Tribunal fédéral a constaté que l’autorité cantonale s’était fondée sur les pièces, principalement les relevés bancaires, remises par l’épouse mais dont la production avait été requise du mari à deux reprises sans succès, ainsi que sur les constatations de fait, qui faisaient ressortir que la situation financière du mari restait largement indéterminée, en tant que la fortune mobilière et immobilière de celui-ci se trouvait en grande partie en France. Les juges fédéraux ont en outre exposé que l’appelant avait omis de tenir compte du fait que l’autorité cantonale avait constaté qu’il disposait de liquidités suffisantes pour régler la pension de novembre 2011 qu’il n’avait pas payée comme convenu, ayant reçu un salaire de 18'273 fr. 85 à la fin du mois d’octobre 2011, que sa fortune se situait majoritairement en France, à hauteur d’un montant qui n’avait pas pu être défini, qu’il était de nationalité française et qu’il n’avait vraisemblablement plus d’attaches en Suisse à la suite de la perte de son emploi, éléments plaidant en faveur d’une protection des biens se trouvant en Suisse pour garantir le paiement de la contribution d’entretien aux siens. Le Tribunal fédéral a retenu que le mari ne démontrait pas en quoi les preuves disponibles auraient dû être appréciées différemment, ni que les pièces qu’il aurait dû produire – singulièrement une attestation de la valeur des immeubles en France – étaient sans pertinence pour l’issue du litige, mais qu’il avait procédé en définitive à sa propre appréciation de la mise en danger de ses avoirs en Suisse en s’écartant des constatations de l’autorité cantonale. En l’espèce, il est constant que l’appelant est toujours au chômage selon les dernières informations, que l’action en divorce qu’il a ouverte à Paris est toujours pendante et que l’essentiel de son patrimoine mobilier et immobilier se trouve toujours en France. A tout le moins, le contraire n’est pas établi. L’appréciation de l’appelant selon laquelle le Tribunal fédéral ne remettrait pas en cause ses arguments est contraire à la réalité. En effet, les juges fédéraux ont clairement exposé que l’appelant avait admis n’avoir pas produit les documents qui lui avaient été demandés à deux reprises par le juge de première instance, plus particulièrement concernant la valeur des immeubles qu’il possède en France et les revenus de ceux-ci, ce qu’il n’a par ailleurs toujours pas fait. L’arrêt de la Cour d’appel de Paris ne lui est d’aucun secours non plus : en effet, d’une part, cet arrêt ne contient aucun élément nouveau essentiel et durable ; d’autre part, les juges français ont retenu que le rattachement des époux à la Suisse depuis janvier 2008 ne répondait qu’à un impératif professionnel ponctuel de l’appelant et ne constituait, au regard de leur mariage, qu’un lien très précaire avec la Suisse. Enfin, les autres arguments soulevés (coupure d’électricité et retrait des plaques du véhicule [...] qui n’auraient pas eu lieu, faux certificat médical par négligence de la Dresse [...] et faux témoignage de Mme [...]) ne sont pas pertinents dans la mesure où ce ne sont pas ces éléments qui ont motivé le blocage des comptes bancaires de l’intéressé au regard des arrêts rendus le 21 novembre 2012 par le juge délégué, puis le 19 juillet 2013 par le Tribunal fédéral. Dans ces circonstances, force est de reconnaître que les raisons ayant déterminé le blocage des avoirs bancaires de l’appelant auprès de la Banque X.________ demeurent inchangées et qu’il n’existe aucun élément nouveau qui justifierait de lever le blocage desdits avoirs bancaires.</w:t>
      </w:r>
    </w:p>
    <w:p>
      <w:r>
        <w:rPr>
          <w:b/>
        </w:rPr>
        <w:t>E. 3</w:t>
      </w:r>
    </w:p>
    <w:p>
      <w:r>
        <w:t>Il s’ensuit que l’appel doit être rejeté dans la procédure de l’art. 312 al. 1 CPC et le prononcé entrepris confirmé. Les frais judiciaires de deuxième instance, qui doivent être arrêtés à 2’500 fr. (art. 65 al. 3 TFJC [tarif des frais judiciaires civils du 28 septembre 2010 ; RSV 270.11.5]), seront mis à la charge de l'appelant, qui succombe (art. 106 al. 1 CPC). N'ayant pas été invitée à se déterminer, l'intimée n’a pas droit à des dépens. Par ces motifs, le juge délégué de la Cour d’appel civile du Tribunal cantonal, statuant à huis clos, en application de l'art. 312 al. 1 CPC, prononce : I. L’appel est rejeté. II. Le prononcé est confirmé. III. Les frais judiciaires de deuxième instance, arrêtés à 2'500 fr. (deux mille cinq cents francs), sont mis à la charge de l’appelant A.R.________. IV. L'arrêt est exécutoire. Le juge délégué : La greffière : Du L'arrêt qui précède, dont la rédaction a été approuvée à huis clos, est notifié en expédition complète, par l'envoi de photocopies, à : ‑ Me Bernard de Chedid (pour A.R.________) ‑ Me Jérôme Bénédict (pour B.R.________)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