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704 vom 31. Oktober 2013</w:t>
      </w:r>
    </w:p>
    <w:p>
      <w:r>
        <w:t>VD Tribunal cantonal, 2013-10-31, FR</w:t>
      </w:r>
    </w:p>
    <w:p>
      <w:r>
        <w:rPr>
          <w:b/>
        </w:rPr>
        <w:t xml:space="preserve">Quelle: </w:t>
      </w:r>
      <w:r>
        <w:t>https://mcp.opencaselaw.ch/entscheid/vd_findinfo_HC___2013___704</w:t>
      </w:r>
    </w:p>
    <w:p>
      <w:r>
        <w:t>FR: VD_FINDINFO HC / 2013 / 704 du 31 octobre 2013</w:t>
      </w:r>
    </w:p>
    <w:p>
      <w:r>
        <w:t>IT: VD_FINDINFO HC / 2013 / 704 del 31 ottobre 2013</w:t>
      </w:r>
    </w:p>
    <w:p>
      <w:pPr>
        <w:pStyle w:val="Heading2"/>
      </w:pPr>
      <w:r>
        <w:t>Regeste</w:t>
      </w:r>
    </w:p>
    <w:p>
      <w:r>
        <w:t>ASSISTANCE JUDICIAIRE, CHANCES DE SUCCÈS | 257d CO, 117 let. b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juge de paix (cf. art. 5 al. 1 ch. 30 CDPJ [Code de droit privé judiciaire du 12 janvier 2010, RSV 211.02]), statue en procédure sommaire sur les requêtes d’assistance judiciaire (art. 119 al. 3 CPC), le délai pour l’introduction du recours est de dix jours (art. 321 al. 2 CPC). Motivé et déposé en temps utile par un justiciable qui y a intérêt, le recours est recevable à la forme.</w:t>
      </w:r>
    </w:p>
    <w:p>
      <w:r>
        <w:rPr>
          <w:b/>
        </w:rPr>
        <w:t>E. 2</w:t>
      </w:r>
    </w:p>
    <w:p>
      <w:r>
        <w:t>Le recours peut être formé pour violation du droit et constatation manifestement inexacte des faits (art. 320 CPC). L'autorité de recours dispose d'un plein pouvoir d'examen s'agissant de la violation du droit (Spühler, in Basler Kommentar, Schweizerische Zivilprozess-ordnung, Bâle 2010, n. 12 ad art. 319 CPC). Elle revoit librement les questions de droit soulevées par le recourant et peut substituer ses propres motifs à ceux de l'autorité précédente ou du recourant (HohI, Procédure civile, tome lI, 2 e éd., Berne 2010, n. 2508).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s’oppose au constat fait par le premier juge que sa cause serait dépourvue de chances de succès et invoque le fait qu’il s’est acquitté de la totalité des loyers en souffrance avant le dépôt de la requête d’expulsion. Etant par ailleurs indigent, il remplirait ainsi les conditions d’octroi de l’assistance judiciaire. b) 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RS 101). Il convient de ne pas être trop sévère lors de l’examen des chances de succès de la cause au sens de l’art. 117 let. b CPC. Pour accorder l’assistance judiciaire, point n’est besoin qu’une victoire du requérant paraisse probable, ni même plus vraisemblable qu’une défaite (Message du Conseil fédéral du 28 juin 2006 relatif au Code de procédure civile suisse, FF 2006, spéc. 6912). Selon la jurisprudence, une procédure doit être tenue pour dépourvue de chances de succès si les chances de la gagner sont sensiblement inférieures aux risques de la perdre et ne peuvent guère être qualifiées de sérieuses, au point qu’une personne raisonnable et disposant des ressources nécessaires ne l’entreprendrait pas (ATF 129 I 129 c. 2.3.1, JT 2005 IV 300). Selon Tappy, cette appréciation doit se faire sur la base des éléments pouvant être connus au moment d'examiner la requête d'assistance judiciaire (Tappy, CPC commenté, Bâle 2011, n. 31 ad art. 117 CPC). c)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 4), cela même si l'arriéré a finalement été payé (TF, arrêt du 27 février 1997, in Cahiers du bail [CdB] 3/97 pp. 65 ss). Des motifs humanitaires n'entrent pas en ligne de compte dans l'examen des conditions de l'art. 257d CO, dès lors qu'ils ne sont pas pris en considération par les règles de droit fédéral sur le bail à loyer (TF, arrêt du 27 février 1997 précité, c. 2b, p. 68 ; TF 4C_74/2006 du 12 mai 2006 c. 3.2.1; Lachat, Le bail à loyer, 2e éd., Lausanne 2008., note infrapaginale 117, p. 820). Ils peuvent cependant être pris en compte au stade de l'exécution forcée, en application du principe général de la proportionnalité (ATF 117 Ia 336 c. 2b). d) Il résulte de ce qui précède que l’affirmation du recourant qu’il a payé l’arriéré de loyers, non pas dans le délai comminatoire de trente jours, mais avant le dépôt de la requête d’expulsion ne permet pas d’admettre qu’il serait en mesure de s’opposer à son expulsion au stade de la procédure qui précède l’exécution forcée. C’est donc à bon droit que le premier juge a considéré que la cause du recourant était dépourvue de chances de succès. L'une des deux conditions cumulatives à l’octroi de l’assistance judiciaire n’étant pas remplie, le refus prononcé en première instance doit être confirmé.</w:t>
      </w:r>
    </w:p>
    <w:p>
      <w:r>
        <w:rPr>
          <w:b/>
        </w:rPr>
        <w:t>E. 4</w:t>
      </w:r>
    </w:p>
    <w:p>
      <w:r>
        <w:t>Le recours doit en conséquence être rejeté. Les frais judiciaires de deuxième instance, arrêtés à 100 fr. (art. 69 al. 3 TFJC [Tarif des frais judiciaires civils du 28 septembre 2010; RSV 270.11.5]), sont mis à la charge du recourant, qui succombe (art. 106 al. 1 CPC). Il n’y a pas matière à l’allocation de dépens de deuxième instance. Par ces motifs, la Chambre des recours civile du Tribunal cantonal, statuant à huis clos, en application de l'art. 322 al. 1 CPC, prononce : I. Le recours est rejeté. II. Le prononcé est confirmé. III. Les frais judiciaires de deuxième instance, par 100 fr. (cent francs), sont mis à la charge du recourant R.________. IV. L’arrêt motivé est exécutoire. Le président :               Le greffier : Du 1 er novembre 2013 Le dispositif de l'arrêt qui précède est communiqué par écrit aux intéressés. Le greffier : Du L'arrêt qui précède, dont la rédaction a été approuvée à huis clos, est notifié en expédition complète, par l'envoi de photocopies, à : ‑ Me Christine Raptis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