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703 vom 25. Oktober 2013</w:t>
      </w:r>
    </w:p>
    <w:p>
      <w:r>
        <w:t>VD Tribunal cantonal, 2013-10-25, FR</w:t>
      </w:r>
    </w:p>
    <w:p>
      <w:r>
        <w:rPr>
          <w:b/>
        </w:rPr>
        <w:t xml:space="preserve">Quelle: </w:t>
      </w:r>
      <w:r>
        <w:t>https://mcp.opencaselaw.ch/entscheid/vd_findinfo_HC___2013___703</w:t>
      </w:r>
    </w:p>
    <w:p>
      <w:r>
        <w:t>FR: VD_FINDINFO HC / 2013 / 703 du 25 octobre 2013</w:t>
      </w:r>
    </w:p>
    <w:p>
      <w:r>
        <w:t>IT: VD_FINDINFO HC / 2013 / 703 del 25 ottobre 2013</w:t>
      </w:r>
    </w:p>
    <w:p>
      <w:pPr>
        <w:pStyle w:val="Heading2"/>
      </w:pPr>
      <w:r>
        <w:t>Regeste</w:t>
      </w:r>
    </w:p>
    <w:p>
      <w:r>
        <w:t>OBLIGATION D'ENTRETIEN, REVENU HYPOTHÉTIQUE, MESURE PROVISIONNELLE, CONJOINT, MODIFICATION DES CIRCONSTANCES | 176 al. 1 ch. 1 CC, 179 al. 1 CC, 179 CC</w:t>
      </w:r>
    </w:p>
    <w:p>
      <w:pPr>
        <w:pStyle w:val="Heading2"/>
      </w:pPr>
      <w:r>
        <w:t>Erwägungen</w:t>
      </w:r>
    </w:p>
    <w:p>
      <w:r>
        <w:rPr>
          <w:b/>
        </w:rPr>
        <w:t>E. 1</w:t>
      </w:r>
    </w:p>
    <w:p>
      <w:r>
        <w:t>L'appel est recevable contre les ordonnances de mesures provisionnelles (art. 308 al. 1 let. b CPC), dans les causes non patrimoniales  ou dont la valeur litigieuse est supérieure à 10'000 francs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en matière de mesures provisionnelles relève de la compétence d'un juge unique (art. 84 al. 2 LOJV [loi vaudoise d'organisation judiciaire du 12 décembre 1979, RSV 173.01]). En l'espèce, formé en temps utile par une partie qui y a intérêt (art. 59 al. 2 let. a CPC) et portant sur des conclusions qui, capitalisées selon l'art. 92 al. 2 CPC, sont supérieures à 10'000 fr., le présent appel est formellement recevable.</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ZPO-Komm, 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 ème éd., no 2410 p. 437). Les parties peuvent toutefois faire valoir que le juge de première instance a violé la maxime inquisitoire en ne prenant pas en considération certains faits (Hohl, op. cit., no 2414 p. 438). c) En l’espèce, les pièces 202 et 204 produites par l'appelant, qui sont antérieures à l'audience du 19 août 2013, auraient dû être produites en première instance et sont donc irrecevables. L'attestation relative aux indemnités journalières perçues par l'intéressé durant l'année 2009 (P. 201), bien qu'établie le 25 septembre 2013, concerne une période échue depuis longtemps. En faisant preuve de la diligence requise, l'appelant aurait pu demander et produire une telle attestation avant le 19 août 2013. Elle est également irrecevable. Quant à la pièce 203, elle est datée du 24 septembre 2013 et donc recevable, nonobstant son absence de pertinence pour la résolution du litige qui nous occupe.</w:t>
      </w:r>
    </w:p>
    <w:p>
      <w:r>
        <w:rPr>
          <w:b/>
        </w:rPr>
        <w:t>E. 3</w:t>
      </w:r>
    </w:p>
    <w:p>
      <w:r>
        <w:t>a) L'appelant se plaint en premier lieu de constatation inexacte des faits en ce sens qu'à l'époque de la convention, il ne bénéficiait pas uniquement d'indemnités journalières de l'assurance-invalidité, par 4'252 fr. 50, mais également de son salaire d'apprenti, qui ascendait à un peu plus de 1'000 fr. par mois, net, de sorte que le premier juge aurait erré au moment de retenir qu'il perçoit 200 fr. de plus par mois à l'heure actuelle. A.P.________ estime que cet élément ressort clairement de la convention de mesures protectrices de l'union conjugale du 16 octobre 2009, qui relève dans son préambule qu'il effectue un apprentissage à Lausanne. Selon l'appelant, il est notoire qu'un apprenti est obligatoirement rémunéré selon un tarif minimal officiel et rien n'explique par conséquent que le premier juge ait considéré que son revenu se montait à 4'037 fr. 45 au moment de la signature de la convention. Partant, A.P.________ soutient qu'en réalité, ses revenus mensuels nets ont baissé de 1'229 fr. 40, ce qui constitue assurément un changement significatif et non temporaire de sa situation financière. b) 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5A_811/2012 du 18 février 2013 c. 3.2 et réf.; TF 5A_400/2012 du 25 février 2013 c. 4.1 et les arrêts cités). c) En l'espèce, on relèvera en premier lieu que les pièces 201 et 202, sur lesquelles l'appelant fonde son argumentation, ont été déclarées irrecevables. Ensuite, la convention de mesures protectrices de l'union conjugale signée par les parties le 16 octobre 2009 retient en préambule que l'appelant est rentier AI, qu'il perçoit une rente de 4'037 fr. 45 par mois et qu'il effectue en parallèle un apprentissage en deuxième année à Lausanne pour se recycler. A aucun moment il n'est fait allusion au salaire d'apprenti de l'appelant. De même, il n'est pas mentionné que ce salaire s'ajouterait ou se retrancherait de ses indemnités journalières AI. Au surplus, A.P.________ ne rend nullement vraisemblable qu'il aurait averti son épouse du fait que ses revenus étaient supérieurs à sa rente. Tout porte à croire qu'il s'agit du contraire : en effet, on comprend mal pourquoi l'appelant prend la peine d'indiquer le montant de sa rente AI mais passe ses revenus d'apprenti sous silence, ce d'autant plus que qu'ils seraient, selon ce qu'il allègue, non négligeables. De même, il est incompréhensible que les parties aient pris la peine de mentionner dans leur convention que l'appelant effectuait un apprentissage pour se reconvertir et qu'elles aient ensuite omis de mentionner les éventuels revenus tirés de cette activité. Ainsi, l'épouse pouvait de bonne foi partir du principe que les revenus de son mari provenaient uniquement de sa rente AI et se montaient à 4'037 fr. 45 par mois. Le premier juge ne s'est donc pas trompé lorsqu'il a retenu que les revenus de l'appelant avaient augmenté de près de 200 fr. par mois depuis la signature de la convention. Si l'on considère un salaire mensuel net de 3'879 fr. versé treize fois l'an, soit 4'203 fr., part au treizième salaire comprise, et des charges alléguées par l'appelant de 2'887 fr. 90, pension pour N.P.________ comprise, la pension de 800 fr. prévue pour l'entretien de B.P.________ n'entame largement pas le minimum vital de son époux. Ce dernier ne prétend d'ailleurs pas le contraire. Au vu de ce qui précède, les circonstances de fait, plus particulièrement la situation financière de l'appelant, n'ont pas changé d'une manière significative et durable, de sorte que la décision du premier juge de ne pas modifier la convention du 16 octobre 2009 ne prête pas le flanc à la critique.</w:t>
      </w:r>
    </w:p>
    <w:p>
      <w:r>
        <w:rPr>
          <w:b/>
        </w:rPr>
        <w:t>E. 4</w:t>
      </w:r>
    </w:p>
    <w:p>
      <w:r>
        <w:t>a) L'appelant invoque également une violation du droit en ce sens que le premier juge se serait trompé en n'imputant pas à l'intimée un revenu hypothétique au vu de son âge. Il estime qu'il y a lieu de retenir que son épouse peut assurément augmenter son taux d'activité, et ce malgré le fait qu'elle est actuellement âgée de 54 ans. Il soutient que selon la jurisprudence du Tribunal fédéral, une augmentation du taux d'activité peut être attendue du conjoint même à un âge avancé, lorsqu'au moment de la séparation, celui-ci était déjà partiellement réinséré. Ainsi, l'appelant estime qu'une capacité contributive supplémentaire de 800 fr. peut être exigée de B.P.________. Cela porterait les revenus de cette dernière à 4'294 fr. 65 par mois, part au treizième salaire et allocations familiales par 425 fr. comprises. Dès lors, l'appelant considère que le disponible de son épouse justifierait que l'on supprime la contribution d'entretien qu'elle perçoit et lui permettrait de s'acquitter d'une contribution d'entretien en sa faveur de 250 fr. par mois. b) Une contribution d'entretien après divorce est due si le mariage a concrètement influencé la situation financière de l'époux crédirentier ("lebensprägend"). Si le mariage a duré au moins dix ans - période à calculer jusqu'à la date de la séparation des parties - il a eu, en règle générale,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Un conjoint - y compris le créancier de l'entretien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(TF 5A_76/2009 du 4 mai 2009 c. 6.2.3; 5C.320/2006 du 1 er février 2006 c. 5.6.2.2). La limite d'âge tend à être augmentée à 50 ans (TF 5A_206/2010 du 21 juin 2010 c. 5.3.2 et les arrêts cités). c) En l'espèce, l'appelant pose le problème à l'envers. On ne peut en effet que constater que ce dernier a accepté de verser une pension de 800 fr. par mois à son épouse, sachant que cette dernière travaillait comme aide-soignante à 60 % pour un salaire mensuel net de 2'686 francs. Actuellement, l'intimée travaille toujours à 60 % pour des revenus similaires, de sorte qu'il n'y a aucun fait nouveau, important et durable dans sa situation permettant de porter atteinte à l'autorité de chose jugée limitée dont jouit la convention. L'imputation à l'intimée d'un revenu hypothétique n'entre par conséquent pas en ligne de compte dès lors qu'il n'y a pas lieu de modifier la convention du 16 octobre 2009. Comme l'a relevé le premier juge, la question d'une éventuelle augmentation de l'activité de l'épouse à 100 % sera examinée dans le cadre du jugement au fond. On rappellera néanmoins par surabondance que B.P.________ est âgée de 54 ans et qu'à cet âge, le Tribunal fédéral admet qu'une reprise d'emploi ou une augmentation de l'activité lucrative n'est pas exigible en présence, comme en l'espèce, d'un mariage ayant eu un impact décisif sur la vie de la crédirentière.</w:t>
      </w:r>
    </w:p>
    <w:p>
      <w:r>
        <w:rPr>
          <w:b/>
        </w:rPr>
        <w:t>E. 5</w:t>
      </w:r>
    </w:p>
    <w:p>
      <w:r>
        <w:t>En définitive, manifestement infondé, l'appel doit être rejeté et l'ordon-nance confirmée. Les frais judiciaires de deuxième instance, arrêtés à 600 fr. (art. 63 al. 1 TFJC [tarif des frais judiciaires civils du 28 septembre 2010, RSV 270.11.5]), sont mis à la charge de l’appelant, qui succombe (art. 106 al. 1 CPC). Il n’y a pas matière à l’allocation de dépens de deuxième instance, l'intimée n'ayant pas été invitée à se déterminer.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A.P.________. IV. L’arrêt motivé est exécutoire. Le juge délégué : La greffière : Du 28 octobre 2013 Le dispositif de l'arrêt qui précède est communiqué par écrit aux intéressés. La greffière : Du L'arrêt qui précède, dont la rédaction a été approuvée à huis clos, est notifié en expédition complète, par l'envoi de photocopies, à : ‑ Me Alain Brogli (pour A.P.________), ‑ Me Didier Locher (pour B.P.________).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