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702 vom 4. Oktober 2013</w:t>
      </w:r>
    </w:p>
    <w:p>
      <w:r>
        <w:t>VD Tribunal cantonal, 2013-10-04, FR</w:t>
      </w:r>
    </w:p>
    <w:p>
      <w:r>
        <w:rPr>
          <w:b/>
        </w:rPr>
        <w:t xml:space="preserve">Quelle: </w:t>
      </w:r>
      <w:r>
        <w:t>https://mcp.opencaselaw.ch/entscheid/vd_findinfo_HC___2013___702</w:t>
      </w:r>
    </w:p>
    <w:p>
      <w:r>
        <w:t>FR: VD_FINDINFO HC / 2013 / 702 du 4 octobre 2013</w:t>
      </w:r>
    </w:p>
    <w:p>
      <w:r>
        <w:t>IT: VD_FINDINFO HC / 2013 / 702 del 4 ottobre 2013</w:t>
      </w:r>
    </w:p>
    <w:p>
      <w:pPr>
        <w:pStyle w:val="Heading2"/>
      </w:pPr>
      <w:r>
        <w:t>Regeste</w:t>
      </w:r>
    </w:p>
    <w:p>
      <w:r>
        <w:t>EXPERTISE PSYCHIATRIQUE, PROTECTION DE L'UNION CONJUGALE, PROTECTION DE L'ENFANT, DROIT DE GARDE | 183 CPC (CH)</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(Code de procédure civile du 19 décembre 2008, RS 272 ;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RSV 173.01]). b) En l’espèce, formé en temps utile par une partie qui y a intérêt et portant sur des conclusions non patrimoniales,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b)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Toutefois, des novas peuvent être en principe librement introduits dans les causes régies par la maxime inquisitoire illimitée, par exemple sur la situation des enfants mineurs en droit matrimonial (Tappy, Les voies de droit du nouveau Code de procédure civile, in JT 2010 III 115, spéc. p. 136-137; Jeandin, CPC commenté, n. 5 ad art. 296 CPC et les références citées). Le juge doit ainsi statuer d'office sur les questions touchant au sort des enfants et aux conséquences pécuniaires de celui-ci, sans être limité par les moyens et conclusions des parties, et ordonner toutes preuves utiles à l'établissement d'un état de fait suffisant (ATF 122 III 404 précité ; ATF 120 II 229 précité ; Werro, Concubinage, mariage et démariage, Berne 2000, n. 736, p. 160, et n. 875, p. 189 ; Sutter/Freiburghaus, Kommentar zum neuen Scheidungsrecht, Zurich 1999, nn. 10 et 11 ad art. 145 CC ; Poudret/Haldy/Tappy, op. cit., n. 1 ad art. 3 CPC-VD ; Jeandin, op. cit., n. 2 ss et 14 ss ad art. 296 CPC). La cause étant en l’espèce soumise à la maxime inquisitoire illimitée vu qu’elle porte sur le sort d’enfants mineurs, la nouvelle pièce produite par l’appelant (pièce 67) est ainsi recevable.</w:t>
      </w:r>
    </w:p>
    <w:p>
      <w:r>
        <w:rPr>
          <w:b/>
        </w:rPr>
        <w:t>E. 3</w:t>
      </w:r>
    </w:p>
    <w:p>
      <w:r>
        <w:t>a) L’appelant discute longuement la nécessité d’ordonner une réactualisation de l’expertise pédopsychiatrique et familiale (rapport signé [...] du 29 avril 2011). Il fait valoir que la situation de sa fille est préoccupante, que contrairement à ce qu’a retenu le premier juge, le SPJ ne s’est exprimé que sur la nécessité d’une intervention psychosociale dans son rapport du 22 avril 2013 et non sur les besoins d’une expertise. De nombreux éléments seraient ignorés, en particulier concernant le placement de B.N.________ dans une famille d’accueil. En résumé, il serait choquant, compte tenu du développement de l’enfant de n’entreprendre aucune mesure. L’appelant conteste que le fait de soumettre l’enfant à une nouvelle évaluation serait contre-productif. Enfin, il fait valoir que le refus d’une expertise constituerait une atteinte à son droit aux relations personnelles avec l’enfant. b) Conformément à l’art. 183 al. 1 CPC, le tribunal peut, à la demande d’une partie ou d’office, demander une expertise à un ou plusieurs experts ; il entend préalablement les parties. Pour qu’il y ait matière à expertise, il faut que le tribunal s’estime insuffisamment outillé intellectuellement pour élucider seul un point de fait pertinent, et que des personnes tierces disposent de connaissances leur permettant d’émettre un avis plus fiable sur la question. Le Tribunal doit se poser cette question lorsqu’une partie sollicite une expertise. S’il estime soit que l’appel à un expert n’est pas nécessaire parce qu’il dispose de connaissances suffisantes pour juger, soit qu’une expertise ne serait pas de nature à apporter une quelconque lumière, soit encore que la requête d’expertise porte sur un fait non pertinent ou non contesté, il peut rejeter une telle offre de preuve sans violer le droit d’être entendu (Schweizer, CPC commenté, n. 3-4, ad art. 183). c) En l’espèce, le premier juge a motivé sa décision de manière adéquate, selon une appréciation partagée par le juge de céans. Il a ainsi considéré que la réactualisation du rapport d’expertise pédopsychiatrique ne se justifiait pas et que le dernier rapport du SPJ semblait à cet égard être suffisamment clair et complet, que la solution résidait vraisemblablement, en tout cas dans un premier temps, dans l’apaisement des différends existants entre les parties et que l’avis du SPJ devait être suivi s’agissant du fait que B.N.________ avait surtout besoin d’une période de répit et risquait de se bloquer en cas de nouvelles investigations. Quoi qu’en dise l’appelant, le SPJ s’est effectivement prononcé clairement en défaveur d’une réévaluation, tout en relevant que B.N.________ n’était pas demandeuse d’un suivi psychologique et se développait très bien scolairement et socialement. Les motifs avancés par l’appelant ne sont pas suffisants pour renverser ce constat. Certes, l’enfant ne veut pas voir son père et maintient fermement cette position. On comprend que cela constitue une source de préoccupation pour l’appelant. Toutefois, la résolution éventuelle de ce blocage ne passe pas par la mise en oeuvre d’une expertise supplémentaire, mais, comme le relève le premier juge, par la possibilité des parents de trouver des solutions à leur grave conflit de couple. C’est ce qu’avait d’ailleurs déjà préconisé les experts dans leur rapport du 29 avril 2011. En outre, des renseignements sur la famille d’accueil peuvent être fournis sans qu’une expertise ne soit ordonnée. Dans ces conditions, une nouvelle expertise n’apparaît ni nécessaire, ni adéquate au regard de la situation psychologique de l’enfant.</w:t>
      </w:r>
    </w:p>
    <w:p>
      <w:r>
        <w:rPr>
          <w:b/>
        </w:rPr>
        <w:t>E. 4</w:t>
      </w:r>
    </w:p>
    <w:p>
      <w:r>
        <w:t>Au vu de ce qui précède, l’appel doit être rejeté et le prononcé entrepris confirmé. Les frais judiciaires de deuxième instance, arrêtés à 600 fr. (art 65 al. 2 TFJC), sont mis à la charge de l’appelant qui succombe (art. 106 al.1 CPC). Il n’y a pas matière à l’allocation de dépens de deuxième instance, l’intimée n’ayant pas été invitée à se déterminer. Par ces motifs, le juge délégué de la Cour d’appel civile du Tribunal cantonal, statuant à huis clos, en application de l'art. 312 al. 1 CPC, prononce : I. L’appel est rejeté. II. Le prononcé est confirmé. III. Les frais judiciaires de deuxième instance, arrêtés à 600 fr. (six cents francs), sont mis à la charge de l’appelant A.N.________. IV. L’arrêt motivé est exécutoire. Le juge délégué : La greffière : Du</w:t>
      </w:r>
    </w:p>
    <w:p>
      <w:r>
        <w:rPr>
          <w:b/>
        </w:rPr>
        <w:t>E. 8</w:t>
      </w:r>
    </w:p>
    <w:p>
      <w:r>
        <w:t>octobre 2013 Le dispositif de l'arrêt qui précède est communiqué par écrit aux intéressés. La greffière : Du L'arrêt qui précède, dont la rédaction a été approuvée à huis clos, est notifié en expédition complète, par l'envoi de photocopies, à : ‑ Me Gilles Monnier, av. (pour A.N.________), ‑ Me Marc Cheseaux, av. (pour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