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68 vom 18. Januar 2013</w:t>
      </w:r>
    </w:p>
    <w:p>
      <w:r>
        <w:t>VD Tribunal cantonal, 2013-01-18, FR</w:t>
      </w:r>
    </w:p>
    <w:p>
      <w:r>
        <w:rPr>
          <w:b/>
        </w:rPr>
        <w:t xml:space="preserve">Quelle: </w:t>
      </w:r>
      <w:r>
        <w:t>https://mcp.opencaselaw.ch/entscheid/vd_findinfo_HC___2013___68</w:t>
      </w:r>
    </w:p>
    <w:p>
      <w:r>
        <w:t>FR: VD_FINDINFO HC / 2013 / 68 du 18 janvier 2013</w:t>
      </w:r>
    </w:p>
    <w:p>
      <w:r>
        <w:t>IT: VD_FINDINFO HC / 2013 / 68 del 18 gennaio 2013</w:t>
      </w:r>
    </w:p>
    <w:p>
      <w:pPr>
        <w:pStyle w:val="Heading2"/>
      </w:pPr>
      <w:r>
        <w:t>Regeste</w:t>
      </w:r>
    </w:p>
    <w:p>
      <w:r>
        <w:t>DÉCISION FINALE, DÉCISION PARTIELLE, CONTRAT D'ASSURANCE, LOI FÉDÉRALE SUR LE CONTRAT D'ASSURANCE, ASSURANCE POUR COMPTE D'AUTRUI | 17 al. 2 LCA, 122 CPC (CH), 123 CPC (CH), 236 CPC (CH), 308 al. 1 let. a CPC (CH), 308 al. 2 CPC (CH), 308 CPC (CH)</w:t>
      </w:r>
    </w:p>
    <w:p>
      <w:pPr>
        <w:pStyle w:val="Heading2"/>
      </w:pPr>
      <w:r>
        <w:t>Erwägungen</w:t>
      </w:r>
    </w:p>
    <w:p>
      <w:r>
        <w:rPr>
          <w:b/>
        </w:rPr>
        <w:t>E. 1</w:t>
      </w:r>
    </w:p>
    <w:p>
      <w:r>
        <w:t>a) Le jugement préjudiciel attaqué a été rendu le 29 mai 2012, de sorte que les voies de droit sont régies par le CPC (Code procédure civile suisse du 19 décembre 2008; RS 272), entré en vigueur le 1 er janvier 2011 (art. 405 al. 1 CPC). Selon la jurisprudence du Tribunal fédéral, toutes les décisions de première instance communiquées dès 2011 – et non seulement les décisions finales – sont soumises aux voies de droit du nouveau droit, même lorsqu'elles ont été rendues dans le cadre d'une procédure qui se poursuit selon l'ancien droit en vertu de l'art. 404 al. 1 CPC (ATF 137 III 424 c. 2.3). L'appel est recevable contre les décisions finales (art. 236 CPC) et les décisions incidentes (art. 237 CPC) de première instance (art. 308 al. 1 let. a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in JT 2010 III 115, spéc. p. 126). L'appel, écrit et motivé, est introduit dans les trente jours à compter de la notification de la décision motivée (art. 311 CPC). Une décision est finale au sens de l'art. 236 CPC si elle met fin au procès soit en tranchant le fond, soit en raison d'un motif de procédure (Tappy, op. cit., p. 119), fût-ce in limine litis (Rétornaz, L'appel et le recours, in Procédure civile suisse, les Grands thèmes pour les praticiens, 2010, p. 357). Contrairement à la LTF (loi du 17 juin 2005 sur le Tribunal fédéral; RS 173.110), le Code de procédure civile ne définit pas la décision partielle par laquelle le juge statue sur un objet dont le sort est indépendant de celui qui reste en cause (art. 91 let. a LTF) ou rend une décision mettant fin à la procédure à l'égard d'une partie des consorts (art. 91 let. b LTF). La décision partielle s'assimile à une décision finale dans la mesure où elle tranche définitivement une partie du litige, pour laquelle le procès prend fin; elle s'en distancie toutefois puisqu'elle ne met pas fin à la procédure, dès lors que l'instance perdure à raison de la partie non tranchée du litige. La décision partielle est en réalité une décision "partiellement finale" (Corboz, Commentaire de la LTF, n. 7 ad art. 91 LTF). Elle statue définitivement sur une ou plusieurs des conclusions en cause, sans mettre totalement fin à la procédure (cas de cumul objectif et cumul subjectif d'actions). Il ne s'agit pas de plusieurs questions matérielles partielles d'une demande, mais de prétentions juridiquement distinctes "dont le sort est indépendant de celui qui reste en cause" (art. 91 let. a LTF). Selon la doctrine, même si elle n'est pas mentionnée à l'art. 308 al. 1 CPC, la décision partielle, prise à des fins de "simplification du procès" au sens de l'art. 125 CPC - qui permet de limiter la procédure à des questions ou des conclusions déterminées (art. 125 let. a CPC) -, est attaquable immédiatement, sous peine de péremption du droit d'appel ou de recours, au même titre qu'une décision finale (Jeandin, CPC commenté, 2011, n. 8 ad art. 308 CPC). b) En l'espèce, la décision attaquée est partielle dès lors qu'elle statue sur un objet du litige, soit la légitimation active de l'appelante vis-à-vis de l'intimée P.________ SA appelée en cause, dont le sort est indépendant du litige qui oppose l'appelante à l'intimé G.________, demandeur. Elle est assimilée à une décision finale dès lors que cet aspect du litige a été tranché de manière définitive. La décision entreprise est ainsi attaquable au sens de l'art. 308 al. 1 let. a CPC. La valeur litigieuse étant supérieure à 10'000 fr., l'appel, formé à temps compte tenu des féries,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(ibidem, p. 135).</w:t>
      </w:r>
    </w:p>
    <w:p>
      <w:r>
        <w:rPr>
          <w:b/>
        </w:rPr>
        <w:t>E. 3</w:t>
      </w:r>
    </w:p>
    <w:p>
      <w:r>
        <w:t>Le premier juge a considéré que le contrat d'assurance conclu entre l'appelante et la société intimée P.________ SA était un contrat d'assurance pour le compte d'autrui, le tiers assuré étant I.________. C'est à juste titre que cette appréciation n'est pas contestée par les parties. En effet, en application de l’art. 16 LCA, c’est la volonté des parties lors de la conclusion d’un contrat d’assurance, ainsi que leur comportement par la suite (Hasenböhler, op. cit., n. 19 ad art. 16 LCA), qui déterminent si l’on est ou non en présence d’une assurance pour le compte d’autrui, le critère décisif étant celui de l’intérêt économique assuré (ATF 60 Il 368 c. 1; Carré, loi fédérale sur le contrat d’assurance, Lausanne 2000, p. 195 s. et réf. citées; Viret, Droit des assurances privées, 3 ème éd., Berne 1991, p. 164). Or, en l'occurrence, la proposition d'assurance distingue clairement le preneur d'assurance, soit l'appelante, et la personne à assurer, soit I.________. Le risque couvert n’est pas celui du dommage qu’entraînerait la mise à sa charge des éventuels frais médicaux, en vertu de la déclaration de prise en charge, mais bien les frais d’évacuation et de rapatriement et les frais médicaux eux-mêmes. En outre, les propositions d’assurances ont été signées le 5 juin 2009 et le 1 er juillet 2009, soit avant la signature du formulaire de prise en charge du 9 juillet 2009, ce qui démontre qu’au moment de la signature des propositions d'assurance, l’appelante n’avait pas encore d’intérêt économique propre à la conclusion des contrats en cause. La situation est semblable à celle de l’ATF 60 II 368 précité, où le Tribunal fédéral a certes constaté que le preneur avait un intérêt économique à ne pas être tenu d’indemniser les clients pour la perte éventuelle des objets qui pouvaient être détruits dans un incendie éventuel de l’hôtel dont il était propriétaire. Ce n’était cependant pas cet intérêt que les parties avaient voulu assurer, mais la perte qu’éprouverait chaque client en cas d’incendie, soit l’intérêt économique du client, retenant ainsi une assurance pour compte d’autrui. La doctrine retient par ailleurs que, dans l’assurance de voyage où l’assuré est un tiers, l’objet de l’assurance n’est pas le patrimoine du preneur, mais bien celui du tiers assuré, quand bien même l’assurance-voyage peut protéger indirectement les intérêts économiques du garant contre les obligations pécuniaires découlant de sa déclaration de prise en charge (Chatton, L'assurance voyage pour compte d'autrui et ses liens problématiques avec la déclaration de garantie, REAS 2008 p. 35 ss, spéc. p. 41). Ainsi, la légitimation active de l'appelante ne saurait dès lors être admise au motif que l'assurance litigieuse serait une assurance pour son propre compte.</w:t>
      </w:r>
    </w:p>
    <w:p>
      <w:r>
        <w:rPr>
          <w:b/>
        </w:rPr>
        <w:t>E. 4</w:t>
      </w:r>
    </w:p>
    <w:p>
      <w:r>
        <w:t>a) L'appelante soutient que sa légitimation active doit être admise sur la base de l'art. 17 al. 2 LCA (loi fédérale du 2 avril 1908 sur le contrat d’assurance; RS 221.229.1), I.________ lui ayant donné un mandat sans réserve de conclure l'assurance en cause, à tout le moins de manière implicite. L'intimée P.________ SA conteste cette opinion, relevant que l'intérêt économique assuré est exclusivement celui de I.________, qui a donc la seule qualité d'assurée, l'appelante n'ayant d'ailleurs aucun intérêt économique propre aux contrats d'assurance en cause lors de leur conclusion. Elle relève également que la jurisprudence constante du Tribunal fédéral en matière de contrat d'assurance pour compte d'autrui spécifie que seul l'assuré peut réclamer l'indemnité à l'assureur, le but de ce type d'assurance étant l'indemnisation de l'assuré. Enfin, pour l'intimée P.________ SA, l'appelante n'a pas apporté la preuve d'un mandat sans réserve de conclure une assurance confié par I.________, de sorte qu'elle ne peut se prévaloir de l'art. 17 al. 2 LCA. b) Dans l’assurance pour compte d’autrui, le tiers assuré est en principe seul titulaire du droit de réclamer l’indemnité à l’assureur (TF 5C.277/2006 du 17 avril 2007 c. 4.1; TF 4A_186/2009 du 3 mars 2010 c. 3.2.3). Selon l’art. 17 al. 2 LCA, le preneur d’assurance a cependant qualité sans l’autorisation de l’assuré pour réclamer l’indemnité à l’assureur, lorsque l’assuré avait donné au preneur mandat sans réserve de conclure l’assurance ou si le preneur était légalement tenu de pourvoir à l’assurance. Il existe ainsi trois situations où le preneur peut agir lui-même. Tout d'abord, celle où le tiers a autorisé lui-même le preneur à faire valoir la prétention envers l’assureur (Hasenböhler, Commentaire bâlois LCA, Bâle 2001, n. 30 ad art. 17 LCA). Ensuite, la situation où le preneur est légalement tenu à pourvoir à l’assurance. Enfin, le cas où l’assuré avait donné au preneur mandat sans réserve de conclure l’assurance. C’est le contenu du mandat qui détermine qui, du preneur ou du tiers assuré, a qualité pour faire valoir des prétentions envers l’assureur. Il y a réserve en faveur de l’assuré, lorsque celui-ci stipule expressément le droit de réclamer lui-même l’indemnité (TF 5C.277/2006 du 17 avril 2007 c. 4.1). Un tel mandat peut être implicite, mais présuppose à tout le moins que l’assuré ait eu une connaissance préalable des démarches du preneur (TF 4A_186/2009 du 3 mars 2010 c. 3.2.3). Dans ce dernier cas, il incombe au preneur d’établir que les conditions présidant à l’octroi d’un droit au preneur de faire valoir des prétentions vis-à-vis de l’assureur étaient réunies dans le cas d’espèce (Chatton, op. cit., p. 41). Un tel mandat implicite peut être retenu lorsque l’assureur transmet la police conclue au nom de l’assuré directement à ce dernier, ce qui permet de présumer que cet assuré a de son plein gré et ab initio mandaté le preneur pour conclure une telle assurance, ce qui est d’autant plus le cas lorsqu’il existe des liens familiaux étroits entre eux (Chatton, ibidem). c) En l’espèce, aucun élément du dossier ne permet de retenir que I.________ ait autorisé l'appelante à faire valoir la prétention en paiement de l'indemnité envers l'intimée, ce qu'elle ne plaide d'ailleurs pas. L'hypothèse de l'obligation légale n'entrant pas en ligne de compte, il convient d'examiner si la mère de l'appelante lui a donné mandat sans réserve de conclure l'assurance. L’état de fait ne contient aucun élément factuel permettant de retenir un tel mandat, même implicite. L’appelante n’a jamais allégué au cours de la procédure que I.________ l’aurait chargée de conclure une assurance voyage en sa faveur. Il n’est même pas établi que cette dernière ait eu connaissance des assurances conclues en sa faveur. On ne saurait par ailleurs déduire l’existence de ce mandat de la seule étroitesse des liens familiaux entre l'appelante et I.________, ni du fait que cette dernière ait eu connaissance en signant la déclaration du Service de la population, d’ailleurs postérieurement à la conclusion des contrats d'assurance, de l’engagement de l'appelante de prendre en charge les éventuels frais médicaux, dite déclaration ne mentionnant pas l’existence de l’assurance litigieuse. Pour admettre un mandat même implicite, il faut que le mandant ait à tout le moins connaissance des démarches du mandataire. Il ne suffit pas qu’il soit vraisemblable qu’à supposer qu’il en ait connaissance il eût donné son accord. Mal fondé, le moyen de l'appelante doit donc être rejeté, les conditions de l'art. 17 al. 2 LCA n'étant pas réalisées.</w:t>
      </w:r>
    </w:p>
    <w:p>
      <w:r>
        <w:rPr>
          <w:b/>
        </w:rPr>
        <w:t>E. 5</w:t>
      </w:r>
    </w:p>
    <w:p>
      <w:r>
        <w:t>En conclusion, l'appel doit être rejeté et le jugement entrepris confirmé. L'appelante plaidant au bénéfice de l'assistance judiciaire, les frais judiciaires de deuxième instance, fixés à 750 fr. (art. 62 al. 1  TFJC [tarif des frais judiciaire civils du 28 septembre 2010; RSV 270.11.5] ; art. 122 al. 1 let. b CPC), sont laissés à la charge de l'Etat. Me Alain Dubuis a produit une note détaillée de ses opérations dans la présente cause annonçant neuf heures et quarante-cinq dixième de travail. Compte tenu du dossier et de l'appel déposé, cela paraît légèrement excessif, de sorte qu'il convient de réduire la durée de travail indiquée à huit heures. L'indemnité d'office de Me Alain Dubuis est ainsi arrêtée à 1'440 fr., plus 115 fr. 20 de TVA et 100 fr. de débours (art. 2 et 3 RAJ [règlement sur l'assistance judiciaire en matière civile du 7 décembre 2010; RSV 211.02.3]). Dans la mesure de l’art. 123 CPC, la bénéficiaire de l'assistance judiciaire est tenue au remboursement des frais judiciaires et de l’indemnité à son conseil d’office mis à la charge de l’Etat. L’appelante ayant succombé à son appel, des dépens de deuxième instance, arrêtés à 1'500 fr., sont mis à sa charge en faveur de l’intimée, P.________ SA (art. 122 al. 1 let. d CPC). L'intimé, G.________, ayant renoncé à déposer une réponse et s'étant remis à justice, il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