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662 vom 10. Oktober 2013</w:t>
      </w:r>
    </w:p>
    <w:p>
      <w:r>
        <w:t>VD Tribunal cantonal, 2013-10-10, FR</w:t>
      </w:r>
    </w:p>
    <w:p>
      <w:r>
        <w:rPr>
          <w:b/>
        </w:rPr>
        <w:t xml:space="preserve">Quelle: </w:t>
      </w:r>
      <w:r>
        <w:t>https://mcp.opencaselaw.ch/entscheid/vd_findinfo_HC___2013___662</w:t>
      </w:r>
    </w:p>
    <w:p>
      <w:r>
        <w:t>FR: VD_FINDINFO HC / 2013 / 662 du 10 octobre 2013</w:t>
      </w:r>
    </w:p>
    <w:p>
      <w:r>
        <w:t>IT: VD_FINDINFO HC / 2013 / 662 del 10 ottobre 2013</w:t>
      </w:r>
    </w:p>
    <w:p>
      <w:pPr>
        <w:pStyle w:val="Heading2"/>
      </w:pPr>
      <w:r>
        <w:t>Regeste</w:t>
      </w:r>
    </w:p>
    <w:p>
      <w:r>
        <w:t>GARDE ALTERNÉE | 176 al. 3 CC, 308 al. 1 let. b CPC (CH)</w:t>
      </w:r>
    </w:p>
    <w:p>
      <w:pPr>
        <w:pStyle w:val="Heading2"/>
      </w:pPr>
      <w:r>
        <w:t>Erwägungen</w:t>
      </w:r>
    </w:p>
    <w:p>
      <w:r>
        <w:rPr>
          <w:b/>
        </w:rPr>
        <w:t>E. 1.1</w:t>
      </w:r>
    </w:p>
    <w:p>
      <w:r>
        <w:t>La voie de l'appel est ouverte contre les ordonnances de mesures provisionnelles (art. 308 al. 1 let. b CPC [Code de procédure civile du 19 décembre 2008; RS 272]) dans les causes non patrimoniales ou dont la valeur litigieuse dépasse 10'000 fr. (art. 308 al. 2 CPC). Les mesures provisionnelles étant soumises à la procédure sommaire (art. 248 let. d CPC), le délai d'appel est de dix jours (art. 314 al. 1 CPC). En l’espèce, interjetés en temps utile par deux personnes qui y ont intérêt (art. 59 al. 2 let. a CPC) et portant principalement sur des conclusions non patrimoniales, les appels sont recevables (art. 311 CPC).</w:t>
      </w:r>
    </w:p>
    <w:p>
      <w:r>
        <w:rPr>
          <w:b/>
        </w:rPr>
        <w:t>E. 1.2</w:t>
      </w:r>
    </w:p>
    <w:p>
      <w:r>
        <w:t>L'appel en matière de mesures provisionnelles relève de la compétence du juge unique (art. 84 al. 2 LOJV [loi du 12 décembre 1979 d'organisation judiciaire; RSV 173.01]).</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2.2</w:t>
      </w:r>
    </w:p>
    <w:p>
      <w:r>
        <w:t>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CC et la jurisprudence constante de la CACI, not. CACI 1 er février 2012/75 c. 2a).</w:t>
      </w:r>
    </w:p>
    <w:p>
      <w:r>
        <w:rPr>
          <w:b/>
        </w:rPr>
        <w:t>E. 2.3</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régies par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dès lors que le couple a deux enfants mineurs, le litige est régi par la maxime inquisitoire illimitée de l'art. 296 CPC (Hohl, op. cit. nn. 1166 ss et 2414 ss). Les pièces produites en appel sont donc susceptibles d'être examinées par le juge de l'appel en application de l'art. 317 al . 1 CPC.</w:t>
      </w:r>
    </w:p>
    <w:p>
      <w:r>
        <w:rPr>
          <w:b/>
        </w:rPr>
        <w:t>E. 3.1</w:t>
      </w:r>
    </w:p>
    <w:p>
      <w:r>
        <w:t>L’appelante conteste l’instauration d’une garde alternée sur les enfants [...]. Elle soutient que depuis la séparation des parties, il y a plus de trois ans, la garde des enfants lui a été exclusivement confiée, et qu’elle a fait face seule aux profonds changements intervenus dans leur vie, lorsque le père a quitté le domicile conjugal et lorsqu’il a renoncé unilatéralement à son droit de visite élargi. De son côté l’appelant affirme qu’il aurait accepté la décision querellée si la mère des enfants l’avait admise, mais que l’intérêt supérieur des enfants commande, si l’ordonnance entreprise n’est pas confirmée, que la garde exclusive lui soit attribuée. 3.2.1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3.2.2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par exemple la pratique d'un sport de haut niveau, le passage de l'école publique à un enseignement privé ou en cas d'entrée dans un internat ou dans un établissement strictement confessionnel (ATF 136 III 353 c. 3.2., JT 2010 I 491). 3.2.3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 Le juge appelé à se prononcer sur le fond qui, par son expérience en la matière, connaît mieux les parties et le milieu dans lequel l’enfant est amené à vivre, dispose d’un large pouvoir d’appréciation (ATF 117 II 353 c. 2 ; TF 5A_860/2009 du 26 mars 2010 c. 3.1). 3.2.4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suppose l’accord des deux parents (TF 5A_69/2011 du 27 février 2012 c. 2.1; TF 5A_495/2008 du 30 octobre 2008 c. 4.2, publié in FamPra.ch 2009 p. 238; TF 5P.103/2004 du 7 juillet 2004 c. 2.4.3.1; TF 5P.173/2001 du 28 août 2001 c. 7a, publié in FamPra.ch 2002 p. 163, 165; TF 5C.42/2001 du 18 mai 2001 c. 3, publié in SJ 2001 I 408 c. 3b in fine et les citations; TF 5A_497/2011 du 5 décembre 2011 c. 2.1.3 et les références citées; dans ce sens: Büchler/Wirz, in FamKommentar, Scheidung, vol. 1, 2 e éd., Berne 2011, n. 27 ad art. 133 CC). Au demeurant, l’admissibilité d’une garde alternée doit être appréciée sous l’angle de l’intérêt de l’enfant et dépend, entre autres conditions, de la capacité de coopération des parents (TF 5A_69/2011 du 27 février 2012 c. 2.1; TF 5A_645/2008 du 27 août 2009 c. 6). Récemment, le Tribunal fédéral a relevé (TF 5A_642/2012 du 23 octobre 2012 c. 4 et TF 5A_216/2012 c. 2.1 ; TF 5A 779/2012 du 11 janvier 2013, c. 4)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faisait d’ailleurs l’objet d’un recours pendant devant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 De fait, ensuite de la modification du Code civil suisse (autorité parentale) adoptée le 21 juin 2013 par l’Assemblée fédérale (FF 2013 4229), le nouveau droit ne prévoit plus, comme l’actuel art. 133 al. 3 CC, la nécessité d’une requête conjointe des père et mère pour le maintien de l’exercice en commun de l’autorité parentale après divorce, mais prévoit que le juge, lorsqu’il règle les droits et les devoirs des père et mère, tient compte de toutes les circonstances importantes pour le bien de l’enfant, prenant en considération une éventuelle requête commune des parents et, autant que possible, l’avis de l’enfant (art. 133 al. 2 2 e phrase révisé CC), précisant que dans le cadre d’une procédure de divorce ou d’une procédure de protection de l’union conjugale, le juge confie à l’un des parents l’autorité parentale exclusive si le bien de l’enfant le commande (art. 298 al. 1 révisé CC). Dès lors lorsque les deux parents se déclarent prêts à assumer la garde de l’enfant mais que l’un d’entre eux est opposé à l’instauration d’une garde alternée, le juge n’est pas lié par cette opposition et peut prononcer une garde alternée lorsque l’intérêt de l’enfant paraît mieux préservé par une telle solution et que les circonstances objectives permettent de la mettre en place (Juge délégué CACI 25 juillet 2013/378).</w:t>
      </w:r>
    </w:p>
    <w:p>
      <w:r>
        <w:rPr>
          <w:b/>
        </w:rPr>
        <w:t>E. 3.3</w:t>
      </w:r>
    </w:p>
    <w:p>
      <w:r>
        <w:t>En l’espèce, le premier juge a considéré que, malgré l’absence de consentement – dont le fondement n’était ni réel ni prouvé - de la mère à la garde alternée, le mode de garde partagée permettait de mieux préserver l’intérêt des enfants. Il n’y a pas lieu de s’écarter de cette appréciation du juge de première instance, qui a entendu les parents durant presque cinq heures. Les enfants sont attachés de manière égale à chacun de leurs parents, qui sont pareillement aptes à répondre à leurs besoins, tant sur les plans affectifs qu’éducatifs, intellectuels, physiques ou matériels. Les valeurs familiales des parents sont similaires, leurs divergences éducatives sont mineures. Dès lors que les deux parents se déclarent prêts à assumer la garde de leurs enfants, le juge n’est pas lié par une opposition à l’instauration d’une garde alternée et peut prononcer celle-ci lorsque l’intérêt de l’enfant paraît mieux préservé par une telle solution et que les circonstances permettent de la mettre en place. Or en l’occurrence, les deux parents revendiquent la garde des enfants et s’en sont largement expliqués devant le juge d’appel. Ils ont pris des mesures concrètes en ce sens. Ils exposent que les tensions relationnelles présentes au sein du couple et leurs difficultés de communication se sont grandement apaisées ; ils se reconnaissent mutuellement des capacités éducatives significatives et admettent qu’ils sont pareillement soucieux du bien être de leurs enfants. Il apparaît ainsi qu’aucun motif sérieux et digne d’être pris en considération ne justifie de s’écarter de l’appréciation, conforme à la jurisprudence, du premier juge et que l’intérêt des enfants, comme l’ont préconisé les experts, commande d’attribuer la garde de [...] de manière alternée aux deux parents. L’instauration d’un tel droit de garde permettra à chacun des enfants de bénéficier de la présence et du soutien régulier de chacun de ses père et mère et de réduire les nombreux déplacements, partant les contacts entre parents, induits par l’exercice du droit de visite du parent non gardien. Elle aura pour conséquence de rassurer les parties dans leurs rôles éducatifs, de favoriser les liens pour un développement harmonieux de la personnalité des enfants et de réduire le sentiment d’abandon qui pourrait apparaître à la suite de la séparation des parents. Par ailleurs, la stabilité dont [...] ont besoin nécessite qu’ils demeurent dans l’établissement scolaire qu’ils fréquentent, à proximité de l’appartement de leur mère, chez qui ils ont leur domicile légal, et du lieu de travail de leur père. Si enfin la médiation préconisée par le premier juge est certes souhaitable, et grandement recommandée, elle ne saurait toutefois être imposée aux parties dans la mesure où le succès d’une telle démarche dépend de l’adhésion des deux participants, laquelle fait en l’espèce défaut.</w:t>
      </w:r>
    </w:p>
    <w:p>
      <w:r>
        <w:rPr>
          <w:b/>
        </w:rPr>
        <w:t>E. 3.4</w:t>
      </w:r>
    </w:p>
    <w:p>
      <w:r>
        <w:t>Dès lors que le droit de garde sur [...] s’exerce de manière alternée, à raison d’une semaine chez un parent suivie d’une semaine chez l’autre, il paraît raisonnable d’exiger de chaque partie qu’elle assume l’entier des frais d’entretien des enfants lorsqu’elle les a auprès d’elle, sans contribution de l’autre parent, hormis la participation par moitié aux dépenses extraordinaires décidées en commun (interventions médicales non prises en charge par les assurances, camps scolaires, etc). Cette solution, préconisée par le premier juge, ne souffre aucune critique et peut être confirmée, d’autant que la mère pourra désormais étendre son activité lucrative à un taux correspondant à celui du père et réaliser de la sorte des revenus équivalents à ce dernier.</w:t>
      </w:r>
    </w:p>
    <w:p>
      <w:r>
        <w:rPr>
          <w:b/>
        </w:rPr>
        <w:t>E. 4</w:t>
      </w:r>
    </w:p>
    <w:p>
      <w:r>
        <w:t>Partant, et sous réserve de la renonciation à la médiation précitée, il convient de confirmer la décision du premier juge ainsi que les modalités ordonnées.</w:t>
      </w:r>
    </w:p>
    <w:p>
      <w:r>
        <w:rPr>
          <w:b/>
        </w:rPr>
        <w:t>E. 5</w:t>
      </w:r>
    </w:p>
    <w:p>
      <w:r>
        <w:t>En conclusion, les deux appels sont rejetés et l’ordonnance querellée confirmée, sans qu’il soit besoin de faire suite aux mesures d’instruction requises.</w:t>
      </w:r>
    </w:p>
    <w:p>
      <w:r>
        <w:rPr>
          <w:b/>
        </w:rPr>
        <w:t>E. 6</w:t>
      </w:r>
    </w:p>
    <w:p>
      <w:r>
        <w:t>L’instance d’appel doit en tous les cas statuer sur les frais relatifs à la procédure d’appel (art. 104 al. 1 CPC). Les frais comprennent les frais judiciaires et les dépens (art. 95 al. 1 CPC). Ils sont fixés d’office (art. 105 CPC), selon le tarif (art. 96 CPC) des dépens en matière civile (TDC [tarif des dépens en matière civile du 23 novembre 2010 ; RSV 170.11.6]). En règle générale, la partie succombante (art. 106 al. 1 CPC), doit verser à la partie qui obtient gain de cause tous les frais nécessaires causés par le litige (art. 37 al. 2 CDPJ [code de droit privé judiciaire vaudois du 12 janvier 2010 ; RSV 211.02]). Toutefois, en droit de la famille, le juge peut s’écarter des règles générales et répartir les frais selon sa libre appréciation, soit en équité (art. 107 al. 2 CPC). En l’espèce, chaque partie doit supporter ses propres frais de justice, arrêtés à 1'200 fr. pour chacune d’elles (art. 65 al. 4 TFJC [Tarifs des frais judiciaires civils du 28 septembre 2010; RSV 270.11.5]). Les deux appels étant rejetés, il y a lieu de compenser les dépens. Par ces motifs, le Juge délégué de la Cour d’appel civile du Tribunal cantonal, statuant à huis clos, prononce : I. L’appel de H.________ est rejeté. II. L’appel de C.________ est rejeté. III. L’ordonnance de mesures provisionnelles du 21 août 2013 est confirmée, sous réserve du chiffre V. qui est annulé. IV. Les frais judiciaires de deuxième instance, arrêtés à 1'200 fr. (mille deux cents francs) pour l’appelante sont mis à la charge de H.________. V. Les frais judiciaires de deuxième instance, arrêtés à 1'200 fr. (mille deux cents francs) pour l’appelant sont mis à la charge de C.________. VI. Les dépens de deuxième instance sont compensés. VII. L’arrêt motivé est exécutoire. Le juge délégué : Le greffier : Du L'arrêt qui précède, dont la rédaction a été approuvée à huis clos, est notifié à : ‑ Me Alain Dubuis (pour H.________), ‑ Me Miriam Mazou (pour C.________).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