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 vom 14. Januar 2013</w:t>
      </w:r>
    </w:p>
    <w:p>
      <w:r>
        <w:t>VD Tribunal cantonal, 2013-01-14, FR</w:t>
      </w:r>
    </w:p>
    <w:p>
      <w:r>
        <w:rPr>
          <w:b/>
        </w:rPr>
        <w:t xml:space="preserve">Quelle: </w:t>
      </w:r>
      <w:r>
        <w:t>https://mcp.opencaselaw.ch/entscheid/vd_findinfo_HC___2013___65</w:t>
      </w:r>
    </w:p>
    <w:p>
      <w:r>
        <w:t>FR: VD_FINDINFO HC / 2013 / 65 du 14 janvier 2013</w:t>
      </w:r>
    </w:p>
    <w:p>
      <w:r>
        <w:t>IT: VD_FINDINFO HC / 2013 / 65 del 14 gennaio 2013</w:t>
      </w:r>
    </w:p>
    <w:p>
      <w:pPr>
        <w:pStyle w:val="Heading2"/>
      </w:pPr>
      <w:r>
        <w:t>Regeste</w:t>
      </w:r>
    </w:p>
    <w:p>
      <w:r>
        <w:t>AUTORITÉ PARENTALE, JUGEMENT DE DIVORCE, ACTION EN MODIFICATION, MODIFICATION{EN GÉNÉRAL}, ALLOCATION POUR ENFANT, INTÉRÊT DE L'ENFANT, OBLIGATION D'ENTRETIEN, PENSION D'ASSISTANCE | 276 al. 1 CC, 285 CC</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(art. 59 al. 2 let. a CPC), contre une décision finale rendue en première instance et portant sur des conclusions qui, capitalisées conformément à l'art. 92 al. 1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w:t>
      </w:r>
    </w:p>
    <w:p>
      <w:r>
        <w:rPr>
          <w:b/>
        </w:rPr>
        <w:t>E. 3</w:t>
      </w:r>
    </w:p>
    <w:p>
      <w:r>
        <w:t>L'appelante fait grief au premier juge d'avoir fixé les contributions dues pour l'entretien des enfants C.L.________ et B.L.________ en application de la méthode dite "des pourcentages", sans prendre en considération le fait que les contributions ainsi fixées empièteraient sur son minimum vital. Se référant au décompte de ses charges établi à l'appui de son mémoire du 24 août 2012, ainsi qu'aux pièces produites le 31 juillet 2012, elle soutient devoir assumer diverses dépenses à hauteur de 9'564 francs 05 par mois, dont sa participation, par moitié, au minimum vital de D.Y.________ (200 fr.), les primes d'assurance-maladie de D.Y.________ (70 fr. 80), des frais d'avocat par acomptes mensuels (1'000 fr.), les frais de scolarisation de D.Y.________ (1'500 fr.) – frais qui correspondraient, selon l'appelante, à sa contribution d'entretien envers E.Y.________ – et son rattrapage d'impôt jusqu'en mai 2013 (1'500 fr.). L'appelante affirme ainsi que du fait de ces dépenses, les contributions d'entretien telles que fixées par le premier juge porteraient atteinte à son minimum vital. Elle relève également que le salaire net conséquent de l'intimé lui a permis de renoncer jusqu'à récemment à la perception de toute pension alimentaire pour les enfants C.L.________ et B.L.________ et que la présente procédure en modification du jugement de divorce n'aurait pas été entreprise dans le but de couvrir les besoins de l'intimé et de ses deux enfants, mais pour la punir. a)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(CACI 28 mars 2012/156 c. 5; CACI 19 janvier 2012/38, c. 3b/aa; Bastons Bulletti, L'entretien après divorce: méthodes de calcul, montant, durée et limites, in SJ 2007 II 77, spéc. pp. 107 s.; Revue Suisse de Jurisprudence [RSJ] 1984 p. 392 n° 4 et note p. 393; Meier/Stettler, Droit de la filiation, 4 e éd., n. 978, pp. 567-568; TF 5A_178/2008 du 23 avril 2008 c. 3.3 et les réf. citées; TF 5A_84/2007 du 18 septembre 2007 c. 5.1, Revue du droit de la tutelle [RDT] 2007, p. 299). Ces critères s'appliquent à tous les enfants mineurs, indépendamment de l'état civil de leurs parents, à savoir que ceux-ci se soient mariés ou non, séparés ou divorcés (CACI 19 janvier 2012/38 c. 3b/aa; cf. CREC II 15 novembre 2010/234). Ces pourcentages ne valent en général que si le revenu du débiteur se situe entre 3'500 et 4'500 fr. par mois (ATF 116 II 110 c. 3a, JT 1993 I 162), revenu qui a toutefois été réactualisé depuis lors, de 4'500 fr. à 6'000 fr., pour tenir compte de l'augmentation du coût de la vie (CACI 19 janvier 2012/38 c. 3b/aa;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TF 5A_178/2008 du 23 avril 2008 c. 3.3).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289m JT 1996 I 219; ATF 116 II 115, JT 1993 I 167). L'allocation de montants distincts n'est dès lors pas d'emblée exclue, mais commande une justification particulière (ATF 137 III 59 c. 4.2.1, JT 2011 II 359; TF 5A.62/2007 du 24 août 2007 c. 6.1, publié in FamPra.ch 2008, p. 223 et résumé in RDT 2007, p. 300). Lorsque les capacités financières du débirentier sont modestes comparativement au nombre d'enfants créanciers d'aliments, il convient de prendre comme point de départ son minimum vital au sens du droit des poursuites (½ du montant de base du débiteur vivant en couple s'il est remarié ou vit en concubinage), sans prendre en considération les charges qui font partie du minimum vital des enfants qui font ménage commun avec le débiteur (montants de base, part du loyer et prime d'assurance-maladie), ni les contributions d'entretien dues à d'autres enfants en vertu d'un jugement de divorce (ATF 137 III 59 c. 4.2.2, JT 2011 II 359; ATF 127 III 68 c. 2c), ni les charges concernant uniquement le nouvel époux pour lesquelles le débiteur devrait contribuer en vertu de l'art. 163 CC dans la mesure où le nouvel époux ne peut les assumer par ses propres moyens (ATF 137 III 59 c. 4.2.2, JT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citées; cf. également ATF 128 III 305 c.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réservé (ATF 137 III 59 c. 4.2.3, JT 2011 II 359; ATF 135 III 66; TF 5A_353/2010 du 29 octobre 2010 c. 6.2.1). Les principes rappelés ci-dessus s'appliquent non seulement pour l'enfant né hors mariage mais aussi pour celui né d'un second mariage, qui doivent être placés sur un pied d'égalité avec les enfants nés d'une précédente liaison (ATF 137 III 59 précité c. 4.2.4). b) En l'espèce, la fixation par le premier juge des contributions dues par l'appelante pour l'entretien de ses enfants C.L.________ et B.L.________ en fonction d'un pourcentage de son revenu mensuel, conformément à la jurisprudence vaudoise, ne prête pas le flanc à la critique. En effet, en présence d'un revenu mensuel net – non contesté – de l'appelante de 10'046 fr. 60, le premier juge a considéré, à juste titre, que l'appelante devait consacrer à l'entretien de ses trois enfants, C.L.________, B.L.________ et D.Y.________, un montant correspondant à 25 % de son revenu mensuel, soit 2'511 fr. 65 (10'046 fr. 60 x 25 %) pour ses trois enfants ou 837 fr. 20 pour chacun des enfants, qui ont le droit d'être traités de la même manière. Contrairement à ce que soutient l'appelante, les montants des contributions d'entretien fixés par le premier juge n'ont pas pour effet d'entamer son minimum vital, dès lors que plusieurs des postes mentionnés par l'appelante pour alléguer un montant total de charges de 9'564 fr. 05 n'ont pas à être pris en considération dans ce contexte. Ainsi, le minimum vital de l'enfant D.Y.________, soit le montant de base (400 fr.) – comptabilisé par moitié (200 fr.) par l'appelante, qui expose avoir la garde alternée de l'enfant dans l'attente du jugement de divorce à intervenir – et les primes d'assurance-maladie de l'enfant (70 fr. 80) n'ont pas à être pris en compte selon la jurisprudence précitée. Il en va de même du montant de 1'500 fr. allégué à titre de frais de scolarité de D.Y.________, dont l'appelante soutient qu'il correspond à ce jour à sa contribution d'entretien envers E.Y.________. Par ailleurs, ne sauraient être pris en considération dans ce contexte ni les arriérés d'impôts par 1'500 fr. par mois, ni les frais d'avocat par 1'000 fr. qui sont purement temporaires. Si l'on considère au surplus que doivent être soustraites des besoins de l'enfant D.Y.________ les allocations familiales légales par 200 fr. et celles de l'employeur par 165 fr. 30, il appert que le disponible de l'appelante suffit manifestement à couvrir les besoins de tous les enfants sans que son minimum vital ne soit entamé. Les contributions d'entretien pour les enfants C.L.________ et B.L.________, telles que fixées par le premier juge, restent parfaitement en rapport avec le niveau de vie et la capacité contributive de l'appelante et doivent être confirmées. Il sied de préciser à cet égard que la situation financière confortable du père des enfants ne doit pas avoir pour effet de réduire la contribution d'entretien due par la mère, comme celle-ci paraît le penser, mais doit profiter aux enfants (cf. art. 285 al. 1 CC), ainsi que le premier juge l'a relevé à juste titre.</w:t>
      </w:r>
    </w:p>
    <w:p>
      <w:r>
        <w:rPr>
          <w:b/>
        </w:rPr>
        <w:t>E. 4</w:t>
      </w:r>
    </w:p>
    <w:p>
      <w:r>
        <w:t>Il résulte de ce qui précède que l'appel, manifestement mal fondé, doit être rejeté en application de l'art. 312 al. 1 CPC et le jugement entrepris confirmé. L'appelante, qui succombe, supportera les frais judiciaires de deuxième instance (art. 106 al. 1 CPC), lesquels doivent être fixés à 600 fr. (art. 63 al. 1 TFJC [Tarif des frais judiciaires civils du 28 septembre 2010; RSV 270.11.5]) et seront compensés avec l'avance du même montant fournie par l'appelante (art. 111 al. 1 CPC). Il n'y a pas lieu d'allouer de dépens de deuxième instance,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