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629 vom 5. September 2013</w:t>
      </w:r>
    </w:p>
    <w:p>
      <w:r>
        <w:t>VD Tribunal cantonal, 2013-09-05, FR</w:t>
      </w:r>
    </w:p>
    <w:p>
      <w:r>
        <w:rPr>
          <w:b/>
        </w:rPr>
        <w:t xml:space="preserve">Quelle: </w:t>
      </w:r>
      <w:r>
        <w:t>https://mcp.opencaselaw.ch/entscheid/vd_findinfo_HC___2013___629</w:t>
      </w:r>
    </w:p>
    <w:p>
      <w:r>
        <w:t>FR: VD_FINDINFO HC / 2013 / 629 du 5 septembre 2013</w:t>
      </w:r>
    </w:p>
    <w:p>
      <w:r>
        <w:t>IT: VD_FINDINFO HC / 2013 / 629 del 5 settembre 2013</w:t>
      </w:r>
    </w:p>
    <w:p>
      <w:pPr>
        <w:pStyle w:val="Heading2"/>
      </w:pPr>
      <w:r>
        <w:t>Regeste</w:t>
      </w:r>
    </w:p>
    <w:p>
      <w:r>
        <w:t>VENTE, GARANTIE EN RAISON DES DÉFAUTS DE LA CHOSE, CLAUSE EXCLUSIVE DE RESPONSABILITÉ | 197 CO, 199 CO</w:t>
      </w:r>
    </w:p>
    <w:p>
      <w:pPr>
        <w:pStyle w:val="Heading2"/>
      </w:pPr>
      <w:r>
        <w:t>Erwägungen</w:t>
      </w:r>
    </w:p>
    <w:p>
      <w:r>
        <w:rPr>
          <w:b/>
        </w:rPr>
        <w:t>E. 1</w:t>
      </w:r>
    </w:p>
    <w:p>
      <w:r>
        <w:t>Le recours est recevable contre les décisions finales de première instance qui ne peuvent faire l’objet d’un appel (art. 319 let. a CPC [Code de procédure civile 19 décembre 2008, RS 272]). Tel est le cas, notamment, dans les affaires patrimoniales, lorsque la valeur litigieuse au dernier état des conclusions est inférieure à 10’000 fr. (cf. art. 308 al. 2 CPC). La valeur du litige étant, en l’espèce, de 8’158 fr. 45, la voie du recours est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 à la forme.</w:t>
      </w:r>
    </w:p>
    <w:p>
      <w:r>
        <w:rPr>
          <w:b/>
        </w:rPr>
        <w:t>E. 2</w:t>
      </w:r>
    </w:p>
    <w:p>
      <w:r>
        <w:t>Le recours est recevable pour violation du droit et constatation manifestement inexacte des faits (art. 320 CPC).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Corboz et alii, Commentaire de la LTF, Berne 2009, n. 19 ad art. 97).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 e éd., Berne 2010, n. 2508, p. 452).</w:t>
      </w:r>
    </w:p>
    <w:p>
      <w:r>
        <w:rPr>
          <w:b/>
        </w:rPr>
        <w:t>E. 3</w:t>
      </w:r>
    </w:p>
    <w:p>
      <w:r>
        <w:t>a) Les recourantes invoquent d’abord une violation du droit, soit une fausse application des art. 197 et 199 CO. La clause exclusive de garantie ne serait pas valable, s’agissant d’une pure clause de style pré-imprimée, dont les parties ne voulaient pas adopter le contenu. En outre, le vendeur aurait fait des promesses sur l’état du véhicule. b)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Selon l’art. 199 CO, toute clause qui supprime ou restreint la garantie est nulle si le vendeur a frauduleusement dissimulé à l’acheteur les défauts de la chose. Les règles sur la garantie des défauts étant de droit dispositif, les parties peuvent y déroger, expressément ou tacitement, notamment par des clauses exclusives ou limitatives de responsabilité. Pour être reconnues, ces clauses doivent correspondre effectivement à la volonté des parties. Tel n’est par exemple pas le cas des simples clauses de style, qui sont systématiquement intégrées dans certains contrats, par tradition (notariale dans la vente immobilière) plus que par volonté délibérée (ATF 107 Il 161 c. 6c, JT 1981 I 582 ; Tercier / Favre f Zen Ruffinen, Les contrats spéciaux, 4 éd., Zurich 2009, n. 895, p. 131; Venturi, Commentaire romand - Droit des obligations I, Bâle 2008, n. 31 ad Introduction art. 197-210 CO). La détermination de la portée d’une clause excluant ou limitant la responsabilité du vendeur ressortit à l’interprétation du contrat. Lorsque la volonté réelle et commune des parties ne peut être constatée, la clause en question doit être interprétée selon le principe de la confiance, ce qui suppose de rechercher le sens qui pouvait lui être attribué de bonne foi en fonction de l’ensemble des circonstances (TF 4A_226/2009 du 20 août 2009 c. 3.2.2; ATF 130 III 686 c. 4.3.1, JT 2005 I 247). Comme la clause doit exprimer clairement la volonté des parties, elle doit être interprétée restrictivement (ATF 126 III 59 c. 5a). c) Le premier juge a retenu à bon droit que la clause incriminée « le véhicule est vendu dans l’état, sans garantie comme vu et essayé» était exprimée sans équivoque et qu’elle était en principe valable, aucun élément de l’instruction ne permettant de retenir qu’elle ne pouvait pas être comprise comme telle par les acheteuses et recourantes. Sur le plan factuel, il a relevé que ces dernières n’avaient pas accepté la proposition de faire expertiser le véhicule pour un prix de vente de 7’500 francs. Au contraire, elles ont refusé cette offre, en déclarant vouloir faire expertiser le véhicule par des amis « dans la mécanique », négociant le prix de vente à 6000 fr., parce que la voiture n’était pas expertisée. Dans ces circonstances, c’est en vain que les recourantes font valoir que la clause d’exclusion de garantie ne correspondrait pas à la volonté des parties. Il résulte au contraire des circonstances de l’achat que les recourantes ont voulu assumer le risque que le véhicule présente des défauts, en négociant le prix et en achetant en définitive le véhicule « dans l’état tel qu’essayé ». Lorsque les recourantes affirment que le vendeur leur a « certifié » que la voiture était en bon état, elles s’écartent en vain de l’état de fait du jugement, le premier juge ayant considéré à juste titre que lorsque l’intimé a dit qu’il espérait qu’il n’y aurait que peu ou pas de frais sur le véhicule, cela constituait une affirmation admissible dans le cadre de la négociation de la vente et non la dissimulation d’un éventuel défaut ou une garantie sur l’état du véhicule.</w:t>
      </w:r>
    </w:p>
    <w:p>
      <w:r>
        <w:rPr>
          <w:b/>
        </w:rPr>
        <w:t>E. 4</w:t>
      </w:r>
    </w:p>
    <w:p>
      <w:r>
        <w:t>Les recourantes soutiennent encore que la décision contiendrait des constatations inexactes et incomplètes des faits. Elles perdent toutefois de vue qu’elles doivent démontrer que les faits sont manifestement inexacts au sens de l’art. 320 CPC, ce qui revient, comme on l’a vu, à démontrer un arbitraire dans l’appréciation des preuves. Or, il n’y aucun arbitraire à ne pas avoir retenu la version de l’expert mandaté par la protection juridique des recourantes, selon laquelle «Q.________ a manifestement été trompée lors de cette transaction que je peux qualifier de malhonnête ». Au contraire, le premier juge a considéré à juste titre que dès lors que les acheteuses ont essayé le véhicule avant de l’acheter et n’ont pas constaté que le moteur fumait, il paraissait douteux, contrairement aux affirmations péremptoires de l’expert, que le défendeur ait connu ce problème et l’ait volontairement caché au moment de la vente. Cette appréciation doit être confirmée. Elle n’est en tous les cas pas arbitraire.</w:t>
      </w:r>
    </w:p>
    <w:p>
      <w:r>
        <w:rPr>
          <w:b/>
        </w:rPr>
        <w:t>E. 5</w:t>
      </w:r>
    </w:p>
    <w:p>
      <w:r>
        <w:t>septembre 2013 Le dispositif de l'arrêt qui précède est communiqué par écrit aux intéressés. La greffière : Du L'arrêt qui précède, dont la rédaction a été approuvée à huis clos, est notifié en expédition complète, par l'envoi de photocopies, à : ‑ M. Pascal Stouder, agent d’affaire breveté (pour Q.________ et V.________), ‑ M. G.________. La Chambre des recours civile considère que la valeur litigieuse est de 8'158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