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626 vom 7. August 2013</w:t>
      </w:r>
    </w:p>
    <w:p>
      <w:r>
        <w:t>VD Tribunal cantonal, 2013-08-07, FR</w:t>
      </w:r>
    </w:p>
    <w:p>
      <w:r>
        <w:rPr>
          <w:b/>
        </w:rPr>
        <w:t xml:space="preserve">Quelle: </w:t>
      </w:r>
      <w:r>
        <w:t>https://mcp.opencaselaw.ch/entscheid/vd_findinfo_HC___2013___626</w:t>
      </w:r>
    </w:p>
    <w:p>
      <w:r>
        <w:t>FR: VD_FINDINFO HC / 2013 / 626 du 7 août 2013</w:t>
      </w:r>
    </w:p>
    <w:p>
      <w:r>
        <w:t>IT: VD_FINDINFO HC / 2013 / 626 del 7 agosto 2013</w:t>
      </w:r>
    </w:p>
    <w:p>
      <w:pPr>
        <w:pStyle w:val="Heading2"/>
      </w:pPr>
      <w:r>
        <w:t>Regeste</w:t>
      </w:r>
    </w:p>
    <w:p>
      <w:r>
        <w:t>CONSTATATION DES FAITS, INADVERTANCE MANIFESTE, MOTIVATION DE LA DÉCISION | 29 al. 2 Cst., 184 al. 3 CPC (CH)</w:t>
      </w:r>
    </w:p>
    <w:p>
      <w:pPr>
        <w:pStyle w:val="Heading2"/>
      </w:pPr>
      <w:r>
        <w:t>Erwägungen</w:t>
      </w:r>
    </w:p>
    <w:p>
      <w:r>
        <w:rPr>
          <w:b/>
        </w:rPr>
        <w:t>E. 1</w:t>
      </w:r>
    </w:p>
    <w:p>
      <w:r>
        <w:t>Selon l'art. 319 let. b ch. 1 CPC, le recours est recevable contre les autres décisions et ordonnances d’instruction de première instance dans les cas prévus par la loi. Tel est le cas d’un prononcé fixant la rémunération de l’expert, la voie du recours étant expressément ouverte par l'art. 184 al. 3 CPC. Déposé et motivé en temps utile, par une partie qui y a un intérêt digne de protection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une constatation manifestement inexacte des faits en ce sens que le premier juge a fondé à tort son prononcé sur un accord tacite des parties. Dès lors qu'elle s'est opposée à la note d'honoraires dans le délai imparti à cet effet, le premier juge ne pouvait retenir l'existence d'un accord tacite des parties. Elle fait également valoir une violation de son droit d'être entendue, dans la mesure où le premier juge n'a pas motivé son prononcé. En l'espèce, il ressort effectivement du dossier que la recourante s'est opposée à la note d'honoraires par courrier du 30 avril 2013, en faisant valoir qu'aucune rémunération ne devait être versée à l'expert puisque le rapport complémentaire était inutilisable. Dès lors, en retenant un accord tacite des parties s'agissant de la note d'honoraires, le premier juge a constaté de manière manifestement inexacte les faits. En raison de cette erreur, le premier juge n'a pas motivé sa décision, notamment eu égard aux critiques formées par la recourante, ce qui viole également le droit d'être entendue de cette dernière.</w:t>
      </w:r>
    </w:p>
    <w:p>
      <w:r>
        <w:rPr>
          <w:b/>
        </w:rPr>
        <w:t>E. 4</w:t>
      </w:r>
    </w:p>
    <w:p>
      <w:r>
        <w:t>En conclusion, le recours doit être admis et le prononcé annulé en application de l'art. 327 al. 3 let. a CPC. Il n'incombe en effet pas à l'autorité de recours de statuer en lieu et place du premier juge, à qui il appartiendra d'arrêter les honoraires de l'expert et de motiver sa décision au vu du désaccord des parties. Les parties doivent au demeurant bénéficier de la double instance à cet égard. Dans la mesure où les frais judiciaires de deuxième instance, arrêtés à 100 fr., ne sont pas imputables aux parties, ils seront laissés à la charge de l'Etat (art. 107 al. 2 CPC). Bien que la recourante obtienne gain de cause, il n'y a pas lieu de lui allouer des dépens de deuxième instance à la charge de l'intimé. En effet, dès lors que ce dernier s'en est remis à Justice sur le sort du recours, il convient de faire application de l'art. 107 let. f CPC, une répartition des frais "en fonction du sort de la cause" paraissant inéquitable en l'espèce. L'Etat ne saurait davantage être condamné à verser des dépens (art. 107 al. 2 CPC a contrario ; Tappy, CPC commenté, 2011, n. 34 ad art. 107 CPC). Par ces motifs, la Chambre des recours civile du Tribunal cantonal, statuant à huis clos, prononce : I. Le recours est admis. II. Le prononcé rendu le 7 mai 2013 par le Président du Tribunal civil de l’arrondissement de Lausanne est annulé et la cause est renvoyée à cette instance pour nouvelle décision dans le sens des considérants. III. Les frais judiciaires de deuxième instance, arrêtés à 100 fr. (cent francs), sont laissés à la charge de l’Etat. IV. Il n’est pas alloué de dépens. V. L’arrêt motivé est exécutoire. Le président :               Le greffier : Du</w:t>
      </w:r>
    </w:p>
    <w:p>
      <w:r>
        <w:rPr>
          <w:b/>
        </w:rPr>
        <w:t>E. 8</w:t>
      </w:r>
    </w:p>
    <w:p>
      <w:r>
        <w:t>août 2013 Le dispositif de l'arrêt qui précède est communiqué par écrit aux intéressés. Le greffier : Du L'arrêt qui précède, dont la rédaction a été approuvée à huis clos, est notifié en expédition complète, par l'envoi de photocopies, à : ‑ Me Alain Dubuis (pour Mme N.________), ‑ Me Miriam Mazou (pour M.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