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614 vom 30. September 2013</w:t>
      </w:r>
    </w:p>
    <w:p>
      <w:r>
        <w:t>VD Tribunal cantonal, 2013-09-30, FR</w:t>
      </w:r>
    </w:p>
    <w:p>
      <w:r>
        <w:rPr>
          <w:b/>
        </w:rPr>
        <w:t xml:space="preserve">Quelle: </w:t>
      </w:r>
      <w:r>
        <w:t>https://mcp.opencaselaw.ch/entscheid/vd_findinfo_HC___2013___614</w:t>
      </w:r>
    </w:p>
    <w:p>
      <w:r>
        <w:t>FR: VD_FINDINFO HC / 2013 / 614 du 30 septembre 2013</w:t>
      </w:r>
    </w:p>
    <w:p>
      <w:r>
        <w:t>IT: VD_FINDINFO HC / 2013 / 614 del 30 settembre 2013</w:t>
      </w:r>
    </w:p>
    <w:p>
      <w:pPr>
        <w:pStyle w:val="Heading2"/>
      </w:pPr>
      <w:r>
        <w:t>Regeste</w:t>
      </w:r>
    </w:p>
    <w:p>
      <w:r>
        <w:t>ACTION EN CONTESTATION, PROPRIÉTÉ PAR ÉTAGES, SERVITUDE, RECTIFICATION DE LA DÉCISION | 712m CC, 75 CC, 142 al. 1 CPC (CH), 334 al. 1 CPC (CH), 62 CPC (CH)</w:t>
      </w:r>
    </w:p>
    <w:p>
      <w:pPr>
        <w:pStyle w:val="Heading2"/>
      </w:pPr>
      <w:r>
        <w:t>Erwägungen</w:t>
      </w:r>
    </w:p>
    <w:p>
      <w:r>
        <w:rPr>
          <w:b/>
        </w:rPr>
        <w:t>E. 1</w:t>
      </w:r>
    </w:p>
    <w:p>
      <w:r>
        <w:t>let. a CPC) au sens de l’art. 236 CPC, dans les causes patrimoniales dont la valeur litigieuse dépasse 10’000 fr. (art. 308 al. 2 CPC). Formé en temps utile (art. 311 al. 1 et 145 al. 1 let. a CPC) par une partie qui y a intérêt (art. 59 al. 2 let. a CPC), contre une décision finale de première instance rendue dans une cause patrimoniale dont la valeur litigieuse au dernier état des conclusions est supérieure à 10’000 fr., l’appel est recevable.</w:t>
      </w:r>
    </w:p>
    <w:p>
      <w:r>
        <w:rPr>
          <w:b/>
        </w:rPr>
        <w:t>E. 2</w:t>
      </w:r>
    </w:p>
    <w:p>
      <w:r>
        <w:t>L’appel peut être formé pour violation du droit (art. 310 let. a CPC) et constatation inexacte des faits (art. 310 let. b CPC). La violation du droit, au sens de l’art. 310 let. a CPC, doit s’entendre largement et vise toute application incorrecte du droit écrit ou non écrit, qu’il s’agisse de droit matériel ou de la procédure, du droit fédéral ou du droit cantonal (Jeandin, CPC commenté, Bâle 2011, n. 2 ad art. 310 CPC). L’autorité d’appel peut revoir l’ensemble du droit applicable, y compris les questions d’opportunité ou d’appréciation laissées par la loi à la décision du juge, et doit le cas échéant appliquer le droit d’office conformément au principe général de l’art. 57 CPC (JT 2011 III 43).</w:t>
      </w:r>
    </w:p>
    <w:p>
      <w:r>
        <w:rPr>
          <w:b/>
        </w:rPr>
        <w:t>E. 3</w:t>
      </w:r>
    </w:p>
    <w:p>
      <w:r>
        <w:t>a) L’appelante reproche d’abord aux premiers juges d’avoir appliqué à tort l’art. 334 CPC en modifiant le dispositif entre le moment de la notification de celui-ci et le moment de l’envoi de l’expédition motivée, dans la mesure où ce changement entraînerait en réalité une modification de la décision au fond et non uniquement une reformulation plus claire du dispositif. Dans le cadre du jugement motivé, rendu le 3 janvier 2013 et communiqué le 18 mars 2013, le Tribunal d’arrondissement de l’Est vaudois a fait application de l’art. 334 al. 1 CPC et, sur cette base, a déclaré la demande déposée le 23 mai 2012 par N.________ à l’encontre de la PPE G.________ irrecevable, alors que le chiffre I du dispositif du 3 janvier 2013 indiquait que la demande était rejetée. b) Aux termes de l’art. 334 al. 1, 1 ère phrase CPC, « si le dispositif de la décision est peu clair, contradictoire ou incomplet ou qu’il ne correspond pas à la motivation, le tribunal procède, sur requête ou d’office, à l’interprétation ou à la rectification de la décision. » Il y a matière à interprétation non seulement lorsque le dispositif est contradictoire en lui-même, mais également lorsque, apparemment univoque, il entre en contradiction avec les motifs qui le sous-tendent (Schweizer, CPC commenté, Bâle 2011, n. 7 ad art. 334). c) En l’espèce, à la lecture du jugement, on comprend que les premiers juges ont considéré que la demande en annulation était tardive, raison pour laquelle elle a été déclarée irrecevable. Les magistrats ont reconnu qu’au regard de la motivation du jugement, la formulation du chiffre I du dispositif n’était pas correcte, puisque la demande aurait dû être déclarée irrecevable et non pas rejetée comme indiqué dans le dispositif. Dans la mesure où le dispositif ne correspond pas à la motivation, la rectification opérée ne semble pas contraire à l’art. 334 al. 1 CPC (cf. Schweizer, loc. cit.; cf. également Ferrari, in Commentaire de la LTF, n. 4 ad art. 129 LTF et l’arrêt cité). La question peut toutefois demeurer indécise, sur le vu du résultat auquel va aboutir le présent appel (cf. infra, c. 6.c).</w:t>
      </w:r>
    </w:p>
    <w:p>
      <w:r>
        <w:rPr>
          <w:b/>
        </w:rPr>
        <w:t>E. 4</w:t>
      </w:r>
    </w:p>
    <w:p>
      <w:r>
        <w:t>a) Dans un second moyen, l’appelante soutient que sa demande du 23 mais 2012 n’est pas irrecevable, puisqu’elle a été précédée d’une requête de conciliation déposée en temps utile, et qu’elle a été formée dans le délai de trois mois dès la délivrance de l’autorisation de procéder du 1 er mars 2012, comme l’exige l’art. 209 al. 3 CPC. b) La demande en annulation a été déclarée irrecevable, au motif qu’elle était tardive pour avoir été déposée « largement au-delà du délai de 30 jours prévu par l’art. 75 CC » (jugement, p. 8). Selon cette disposition, tout sociétaire est autorisé de par la loi à attaquer en justice, dans le mois à compter du jour où il en a eu connaissance, les décisions auxquelles il n’a pas adhéré et qui violent des dispositions légales ou statutaires. Selon l’art. 142 al. 2, 1 ère phrase CPC, lorsqu’un délai est fixé en mois, il expire le jour du dernier mois correspondant au jour où il a commencé à courir. L’art. 62 al. 1 CPC prévoit notamment que l’instance est introduite par le dépôt de la requête de conciliation, de la demande ou de la requête en justice. c) La décision de l’assemblée générale de la PPE G.________ a été prise le 21 octobre 2011. L’appelante, qui n’y a pas adhéré, avait donc jusqu’au 21 novembre 2011 pour la contester. Or, il ressort expressément du jugement que la demanderesse a déposé une requête de conciliation le 21 novembre 2011, la requête de conciliation valant ouverture d’action au sens de l’art. 62 CPC. La conciliation n’ayant pas abouti, une autorisation de procéder a été délivrée le 1 er mars 2012 et l’action portée devant le tribunal dans le délai de trois mois de l’art. 209 al. 3 CPC. Force est dès lors de constater que la demande n’est pas irrecevable.</w:t>
      </w:r>
    </w:p>
    <w:p>
      <w:r>
        <w:rPr>
          <w:b/>
        </w:rPr>
        <w:t>E. 5</w:t>
      </w:r>
    </w:p>
    <w:p>
      <w:r>
        <w:t>L’autorité de première instance n’a certes pas statué sur le fond, puisqu’elle a rendu un prononcé d’irrecevabilité et non pas de rejet ou de rejet dans la mesure de la recevabilité de la demande. Cela justifierait en principe de ne pas entrer en matière sur les griefs se rapportant au fond. Toutefois, dès lors que l’autorité de première instance s’est prononcée à titre superfétatoire sur le fond après une instruction complète sur les points essentiels, en indiquant que l’action devait de toute manière être rejetée, et que l’appelante fait valoir ses moyens de fond dans le cadre de son appel, l’autorité de céans est en mesure d’examiner le fond et de statuer à nouveau, sans renvoyer la cause à la première instance, conformément à ce qui est prévu à l’art. 318 al. 1 let. b CPC et par économie de procédure.</w:t>
      </w:r>
    </w:p>
    <w:p>
      <w:r>
        <w:rPr>
          <w:b/>
        </w:rPr>
        <w:t>E. 6</w:t>
      </w:r>
    </w:p>
    <w:p>
      <w:r>
        <w:t>a) N.________ a formé action en annulation d’une décision de l’assemblée générale des copropriétaires. b) Selon l’art. 712m al. 2 CC, la contestation des décisions de l’assemblée des propriétaires d’étages est régie par les règles applicables à l’association, c’est-à-dire par l’art. 75 CC. La contestation des décisions se fait généralement par une action tendant à l’annulation de la décision prise, la sécurité des transactions et l’intérêt des partenaires contractuels d’une propriété par étages recommandant en effet de n’admettre que restrictivement la nullité d’une décision prise par l’assemblée des propriétaires d’étages (arrêt 5A_760/2011 du 18 mai 2012, consid. 3.2.3.1). L’action en annulation de l’art. 75 CC permet à tout sociétaire d’attaquer les décisions auxquelles il n’a pas adhéré et qui violent des dispositions légales ou statutaires. Ainsi, cette action ne permet pas de faire contrôler l’opportunité et l’adéquation des décisions de la communauté des copropriétaires (ATF 131 III 459 c. 5.1; Bösch, in Basler Kommentar, Bâle 2012, n. 10 ad art. 712m CC; Perrin/Chappuis, Droit de l’association, 3 ème éd., p. 173). c) En l’espèce, la décision de l’assemblée générale extraordinaire du 21 octobre 2011, relative à l’élimination de toutes les plantations au-dessus des garages jusqu’au 31 décembre 2011, ne présente aucun vice de forme, comme cela a été relevé à juste titre par les premiers juges (cf. jugement, c. III, p. 9). Conformément aux art. 27 et 28 RAU, le quorum était atteint et la décision a été prise à la majorité des copropriétaires présents ou représentés, ce qui n’est d’ailleurs pas remis en cause en appel. L’art. 47 RAU, qui reprend dans sa substance le texte de la servitude, est une norme réglementaire, qui a partiellement fondé la votation du point n° 2 de l’ordre du jour de l’assemblée générale extraordinaire de la PPE G.________ du 21 octobre 2011. Cela étant, la décision issue de cette votation n’est pas une décision sur interprétation. Il a été décidé, par quatre voix contre sept, que toutes les plantations devaient être éliminées au-dessus des garages d’ici au 31 décembre 2011 et que si les plantations n’étaient pas éliminées à cette date, un avocat serait mandaté pour obtenir un avis de droit et défendre les intérêts de la PPE. Il appartiendra ainsi à l’avocat mandaté de saisir, cas échéant, les tribunaux compétents pour faire trancher le litige sous l’angle de l’interprétation d’une clause contractuelle, voire de la servitude, ce qui n’est pas l’objet du présent litige. La finalité du point 2 de l’ordre du jour est la désignation, en cas de non-exécution et donc de désaccord, d’un avocat afin qu’il puisse agir dans l’intérêt de la communauté. Or, on ne voit pas en quoi une telle décision interviendrait en violation des dispositions légales relatives à la propriété par étages ou des dispositions statutaires, au sens de l’art. 75 CC, en relation avec l’art. 712m al. 2 CC. On ne saurait en tout cas dire qu’elle est contraire à l’art. 44 RAU, dès lors que, pour l’heure, aucune autorité n’a été saisie en lien avec le sens à donner à l’art. 47 RAU. Par ailleurs, pour les raisons invoquées par les premiers juges (jugement p. 10), seuls les tribunaux ordinaires sont compétents pour trancher le litige relatif à l’interprétation de la servitude. Au vu de ce qui précède, l’action tendant à l’annulation de la décision de l’assemblée générale extraordinaire du 21 octobre 2011, devait être rejetée. Il y a dès lors lieu de réformer le jugement dans ce sens, et de le confirmer pour le surplus.</w:t>
      </w:r>
    </w:p>
    <w:p>
      <w:r>
        <w:rPr>
          <w:b/>
        </w:rPr>
        <w:t>E. 7</w:t>
      </w:r>
    </w:p>
    <w:p>
      <w:r>
        <w:t>L’appelante obtient gain de cause sur la question de la recevabilité. Elle échoue en revanche s’agissant du fond, puisqu’elle concluait à ce que le jugement soit annulé et/ou déclaré nul et/ou de nul effet. Au regard de ce résultat, il se justifie de mettre les frais judiciaires, arrêtés à 820 fr. (art. 62 al. 1 TFJC [tarif des frais judiciaires civils du 28 septembre 2010, RSV 270.11.5]), à la charge de l’appelante, qui succombe pour l’essentiel. L’appelante devra verser à l’intimée la somme de 1'200 fr. à titre de dépens de deuxième instance (art. 7 al. 1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