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613 vom 10. September 2013</w:t>
      </w:r>
    </w:p>
    <w:p>
      <w:r>
        <w:t>VD Tribunal cantonal, 2013-09-10, FR</w:t>
      </w:r>
    </w:p>
    <w:p>
      <w:r>
        <w:rPr>
          <w:b/>
        </w:rPr>
        <w:t xml:space="preserve">Quelle: </w:t>
      </w:r>
      <w:r>
        <w:t>https://mcp.opencaselaw.ch/entscheid/vd_findinfo_HC___2013___613</w:t>
      </w:r>
    </w:p>
    <w:p>
      <w:r>
        <w:t>FR: VD_FINDINFO HC / 2013 / 613 du 10 septembre 2013</w:t>
      </w:r>
    </w:p>
    <w:p>
      <w:r>
        <w:t>IT: VD_FINDINFO HC / 2013 / 613 del 10 settembre 2013</w:t>
      </w:r>
    </w:p>
    <w:p>
      <w:pPr>
        <w:pStyle w:val="Heading2"/>
      </w:pPr>
      <w:r>
        <w:t>Regeste</w:t>
      </w:r>
    </w:p>
    <w:p>
      <w:r>
        <w:t>EXPULSION DE LOCATAIRE, EXÉCUTION FORCÉE, FRAIS{EN GÉNÉRAL} | 106 al. 1 CPC (CH), 110 CPC (CH), 125 let. c CPC (CH), 319 let. b ch. 1 CPC (CH), 326 al. 1 CPC (CH)</w:t>
      </w:r>
    </w:p>
    <w:p>
      <w:pPr>
        <w:pStyle w:val="Heading2"/>
      </w:pPr>
      <w:r>
        <w:t>Erwägungen</w:t>
      </w:r>
    </w:p>
    <w:p>
      <w:r>
        <w:rPr>
          <w:b/>
        </w:rPr>
        <w:t>E. 1</w:t>
      </w:r>
    </w:p>
    <w:p>
      <w:r>
        <w:t>Pour simplifier le procès, le tribunal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 En l'occurrence, les recours déposés respectivement par A.U.________ et par B.U.________ concernent le même complexe de faits et la même problématique juridique. Les deux recours ont trait à la même affaire et le sort du premier est susceptible d'influer sur le sort du second. Dans ces conditions, il se justifie que les causes JM12.027268-131383 et JM12.027268-131390 soient jointes pour être traitées dans le présent arrêt.</w:t>
      </w:r>
    </w:p>
    <w:p>
      <w:r>
        <w:rPr>
          <w:b/>
        </w:rPr>
        <w:t>E. 2</w:t>
      </w:r>
    </w:p>
    <w:p>
      <w:r>
        <w:t>L’art. 319 let. b ch. 1 CPC ouvre la voie du recours contre les décisions et ordonnances d’instruction de première instance pour lesquelles un recours est expressément prévu par la loi. Tel est le cas en l’espèce, l’art. 110 CPC prévoyant que la décision sur les frais, lesquels comprennent les frais judiciaires et les dépens (art. 95 al. 1 CPC), ne peut être attaquée séparément que par un recours. Rendue en procédure sommaire (art. 339 al. 2 CPC), la décision litigieuse est soumise à un délai de recours de dix jours (art. 321 al. 2 CPC). Le recours, écrit et motivé, est introduit auprès de l’instance de recours (art. 321 al. 1 CPC), soit la Chambre des recours civile (art. 73 al. 1 LOJV [loi vaudoise d’organisation judiciaire du 12 décembre 1979; RSV 173.01]). Au vu de la désignation des parties sur la page de garde de la décision attaquée, il y a lieu de considérer que la " partie intimée " mentionnée aux chiffres Il et III du dispositif de dite décision correspond aux deux recourants A.U.________ et B.U.________. Cela étant, chacun des recours a été formé en temps utile (art. 321 al. 2 CPC), par une partie qui y a un intérêt (art. 59 al. 2 let. a CPC). Ils sont donc formellement recevables.</w:t>
      </w:r>
    </w:p>
    <w:p>
      <w:r>
        <w:rPr>
          <w:b/>
        </w:rPr>
        <w:t>E. 3</w:t>
      </w:r>
    </w:p>
    <w:p>
      <w:r>
        <w:t>a) Le recours peut être formé pour violation du droit et constatation manifestement inexacte des faits (art. 320 CPC). L’autorité de recours dispose d’un plein pouvoir d’examen s’agissant de la violation du droit (Spühler, in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 e éd., Berne 2010, n. 2508, p. 452).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Selon l’art. 326 al.1 CPC, les conclusions, les allégations de faits et les preuves nouvelles sont irrecevables. En l’espèce, dans la mesure où les pièces produites par chacun des recourants ne figurent pas déjà au dossier de première instance, elles s’avèrent irrecevables.</w:t>
      </w:r>
    </w:p>
    <w:p>
      <w:r>
        <w:rPr>
          <w:b/>
        </w:rPr>
        <w:t>E. 4</w:t>
      </w:r>
    </w:p>
    <w:p>
      <w:r>
        <w:t>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Droese, in Basler Kommentar, Schweizerische Zivilprozess-ordnung, Bâle 2010, nn. 18-19 ad art. 339 CPC, p. 1579), ainsi les frais de déménageur et de serrurier (CREC 6 décembre 2011/237). Les frais de la procédure d’exécution sont à la charge de la partie succombante (art. 106 al. 1 CPC; Jeandin, CPC commenté, Bâle 2011, nn. 16 et 18 ad art. 343 CPC, p. 1340); en ordonnant des mesures d’exécution forcée, le tribunal de l’exécution peut toutefois exiger du créancier qu’il avance les frais présumés (art. 98 CPC; ibidem, p. 1340; CREC 6 décembre 2011/237). En l’espèce, la requête d’exécution forcée du bailleur a été admise dans la mesure où une ordonnance d’exécution forcée avait été rendue le 23 juillet 2012, prévoyant au chiffre V de son dispositif que les frais seraient fixés à l’issue de la procédure. Les locataires ont dès lors succombé et n’ont pas recouru contre cette ordonnance. C’est ainsi à eux qu’il incombe en principe de supporter les frais. Ceux-ci ne sauraient toutefois comprendre le coût du déménagement du contenu de la cave d’un tiers effectué par erreur. Ce coût, par 291 fr. 60 (270 fr. + 21 fr. 60 de TVA), doit être mis à la charge du bailleur, dont la représentante lors de l’exécution forcée n’a pas été en mesure de distinguer la cave des locataires de celle d’un tiers. Pour le surplus, il n’y a pas lieu de modifier la décision mettant des dépens à la charge des locataires. Le recourant qui figure en qualité de locataire sur le contrat de bail à loyer est tenu solidairement avec sa colocataire des frais liés à l’expulsion. Il ne saurait prétendre, en invoquant des pièces qui sont irrecevables en deuxième instance (cf. c. 2b supra), qu’il ne répondrait plus des obligations liées à ce contrat.</w:t>
      </w:r>
    </w:p>
    <w:p>
      <w:r>
        <w:rPr>
          <w:b/>
        </w:rPr>
        <w:t>E. 5</w:t>
      </w:r>
    </w:p>
    <w:p>
      <w:r>
        <w:t>En définitive, les recours doivent être partiellement admis et la décision entreprise réformée dans le sens des considérants qui précèdent. Au vu de l’issue de la cause, les frais judiciaires de deuxième instance, arrêtés à 200 fr. (art. 69 al. 1 et 70 al. 3 TFJC [tarif des frais judiciaires civils du 28 septembre 2010; RSV 270.11.5]), sont mis à la charge de l’intimé, par 100 fr., et des recourants, solidairement entre eux, par 100 fr. (art. 106 al. 2 CPC). L’intimé doit ainsi verser aux recourants, solidairement entre eux, la somme de 100 fr. à titre de restitution d’avance de frais de deuxième instance (art. 111 al. 2 CPC). Il n’est pas alloué de dépens de deuxième instance. Par ces motifs, la Chambre des recours civile du Tribunal cantonal, statuant à huis clos, prononce : I. Les causes sont jointes. II. Les recours sont partiellement admis. III. Le prononcé est réformé aux chiffres Il et III de son dispositif comme il suit : Il. met les frais à la charge de T.________, par 291 fr. 60 (deux cent nonante et un francs et soixante centimes), et à la charge de B.U.________ et A.U.________, solidairement entre eux, par 716 fr. 70 (sept cent seize francs et septante centimes). III. dit que B.U.________ et A.U.________, solidairement entre eux, rembourseront à T.________ une part de ses frais judiciaires, par 716 fr. 70 (sept cent seize francs et septante centimes), et lui verseront la somme de 300 fr. (trois cents francs) à titre de dépens. IV. Les frais judiciaires de deuxième instance, arrêtés à 200 fr. (deux cents francs), sont mis à la charge de T.________, par 100 fr. (cent francs), et de B.U.________ et A.U.________, par 100 fr. (cent francs). V. T.________ doit verser à B.U.________ et A.U.________, solidairement entre eux, la somme de 100 fr. (cent francs) à titre de restitution d’avance de frais de deuxième instance. VI. Il n’est pas alloué de dépens de deuxième instance. VII. L’arrêt motivé est exécutoire. Le président :               Le greffier : Du 11 septembre 2013 Le dispositif de l’arrêt qui précède est communiqué par écrit aux intéressés. Le greffier : Du L’arrêt qui précède, dont la rédaction a été approuvée à huis clos, est notifié en expédition complète, par l’envoi de photocopies, à : ‑ A.U.________, ‑ B.U.________, ‑ Jean-Marc Schlaeppi, aab (pour T.________). La Chambre des recours civile considère que la valeur litigieuse est de 1’308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