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604 vom 23. September 2013</w:t>
      </w:r>
    </w:p>
    <w:p>
      <w:r>
        <w:t>VD Tribunal cantonal, 2013-09-23, FR</w:t>
      </w:r>
    </w:p>
    <w:p>
      <w:r>
        <w:rPr>
          <w:b/>
        </w:rPr>
        <w:t xml:space="preserve">Quelle: </w:t>
      </w:r>
      <w:r>
        <w:t>https://mcp.opencaselaw.ch/entscheid/vd_findinfo_HC___2013___604</w:t>
      </w:r>
    </w:p>
    <w:p>
      <w:r>
        <w:t>FR: VD_FINDINFO HC / 2013 / 604 du 23 septembre 2013</w:t>
      </w:r>
    </w:p>
    <w:p>
      <w:r>
        <w:t>IT: VD_FINDINFO HC / 2013 / 604 del 23 settembre 2013</w:t>
      </w:r>
    </w:p>
    <w:p>
      <w:pPr>
        <w:pStyle w:val="Heading2"/>
      </w:pPr>
      <w:r>
        <w:t>Regeste</w:t>
      </w:r>
    </w:p>
    <w:p>
      <w:r>
        <w:t>CHOSE JUGÉE, EXCEPTION{MOYEN DE DÉFENSE}, JUGEMENT DE DIVORCE, MODIFICATION{EN GÉNÉRAL}, MODIFICATION DES CIRCONSTANCES | 129 al. 1 CC, 129 CC, 475 CPC</w:t>
      </w:r>
    </w:p>
    <w:p>
      <w:pPr>
        <w:pStyle w:val="Heading2"/>
      </w:pPr>
      <w:r>
        <w:t>Erwägungen</w:t>
      </w:r>
    </w:p>
    <w:p>
      <w:r>
        <w:rPr>
          <w:b/>
        </w:rPr>
        <w:t>E. 1</w:t>
      </w:r>
    </w:p>
    <w:p>
      <w:r>
        <w:t>Le jugement incident attaqué a été rendu le 15 avril 2013, de sorte que les voies de droit sont régies par le CPC (Code de procédure civile suisse du 19 décembre 2008, RS 272), entré en vigueur le 1 er janvier 2011 (art. 405 al. 1 CPC). En effet, conformément à la jurisprudence du Tribunal fédéral, toutes les décisions de première instance communiquées après le 1 er janvier 2011 – et non seulement les décisions finales – sont soumises aux voies de droit du nouveau droit, même lorsque, comme en l'espèce, elles ont été rendues dans le cadre d'une procédure qui se poursuit selon l'ancien droit, à savoir selon le CPC-VD, conformément à l'art. 404 al. 1 CPC (ATF 137 III 424 c. 2.3).</w:t>
      </w:r>
    </w:p>
    <w:p>
      <w:r>
        <w:rPr>
          <w:b/>
        </w:rPr>
        <w:t>E. 2</w:t>
      </w:r>
    </w:p>
    <w:p>
      <w:r>
        <w:t>a) 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trente jours à compter de la notification de la décision motivée (art. 311 CPC). b) Une décision est finale au sens de l'art. 236 CPC si elle met fin au procès soit en tranchant le fond, soit en raison d'un motif de procédure (Tappy, op. cit.), fût-ce in limine litis (Rétornaz, L'appel et le recours, in Procédure civile suisse, les Grands thèmes pour les praticiens, Neuchâtel 2010, p. 357). c) Contrairement à la LTF (loi du 17 juin 2005 sur le Tribunal fédéral; RS 173.110), le Code de procédure civile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"partiellement finale"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Selon la doctrine, même si elle n'est pas mentionnée à l'art. 308 al. 1 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(Jeandin, CPC commenté, 2011, n. 8 ad art. 308 CPC) (CACI 2013/59 du 28 janvier 2013). d) Quant à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Staehelin, in Sutter‑Somm/Hasenböhler/Leuenberger (éd.), Kommentar zur Schweizerischen Zivilprozessordnung, 2013, n. 9 ss. ad art. 237, pp. 1350 ss.; Oberhammer, Basler Kommentar, Schweizerische Zivilprozessordnung, 2013, n. 2 ss. ad art. 237 CPC, pp. 1086 ss.; Jeandin, op. cit., n. 9 ad art. 308 CPC; voir également les exemples cités par Poudret/Haldy/Tappy, Procédure civile vaudoise, 3 e éd., 2002, n. 1 ad art. 285 CPC-VD). e) En l’espèce, l’appel est dirigé contre un jugement rejetant l’exception de chose jugée soulevée par l’appelant devant le premier juge s’agissant de la contribution d’entretien. Si l’appel devait être admis, cette question serait définitivement réglée, mais non le sort de l’action en modification, celle-ci contenant d’autres conclusions qui devront être résolues indépendamment du résultat auquel on aboutit présentement. Dès lors que la décision à rendre est susceptible de mettre fin au procès sur certains points uniquement – décision (partiellement) finale –, la décision entreprise est à considérer comme une décision incidente au sens de l'art. 237 al. 1 CPC, contre laquelle, l’appel est recevable au sens de l’art. 308 CPC. Formé en temps utile par une partie qui y a intérêt (art. 59 al. 2 let. a CPC), dans une cause dont la valeur litigieuse est supérieure à 10'000 fr., le présent appel est donc recevable.</w:t>
      </w:r>
    </w:p>
    <w:p>
      <w:r>
        <w:rPr>
          <w:b/>
        </w:rPr>
        <w:t>E. 3</w:t>
      </w:r>
    </w:p>
    <w:p>
      <w:r>
        <w:t>a) L'appelant fait valoir que l'intimée a changé de domicile pour des raisons de convenance personnelle et que cette hypothèse avait déjà été prévue dans le cadre de la convention sur les effets accessoires du divorce du 29 septembre 2008 par laquelle l'intimée a renoncé à une contribution d'entretien. L'intimée soutient que le comportement de l'appelant, qui l'a menée à quitter l'ancien appartement conjugal, constitue un fait nouveau qui justifie de réexaminer la question de la contribution d'entretien. Selon elle, le droit d'habitation prévu par la convention, dont elle réclame la contrepartie financière, devrait être assimilé à une forme de contribution d'entretien en nature après le divorce, qui peut faire l'objet d'une modification au sens de l'art. 129 al. 1 CC (Code civil suisse du 10 décembre 1907, RS 210). b) Selon l'art. 475 al. 2 CPC-VD, l'autorité de chose jugée n'a lieu qu'à l'égard de ce qui a fait l'objet du jugement : il faut que la chose demandée soit la même, que la demande soit fondée sur la même cause, que la demande soit entre les mêmes parties et formée par elles et contre elles en la même qualité. L'exception de chose jugée est une exception de procédure dont l'admission entraîne l'irrecevabilité de la demande et l'invalidation de l'instance (Poudret/Haldy/Tappy, Procédure civile vaudoise, 3 e éd., n. 7 ad art. 475 CPC-VD). Concernant la modification par le juge d’une rente arrêtée par jugement de divorce, l’art. 129 al. 1 CC prévoit que si la situation du débiteur ou du créancier change notablement et durablement, la rente peut être diminuée, supprimée ou suspendue pour une durée déterminée. Selon cette disposition, la modification de la contribution d'entretien après divorce suppose que des faits nouveaux importants et durables interviennent dans la situation d'une des parties, qui commandent une réglementation différente. La procédure de modification n'a en effet pas pour but de corriger le premier jugement, mais de l'adapter aux faits nouveaux.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 11.1.1; 131 III 189 c. 2.7.4; TF 5A_93/2011 du 13 septembre 2011 c. 6.1; TF 5A_845/2010 du 12 avril 2011 c. 4.1). c) Puisque la procédure en modification du jugement de divorce permet, en cas de modification des circonstances, de statuer à nouveau sur un point sur lequel il avait déjà été statué dans le jugement de divorce, elle constitue précisément une exception à l'autorité de chose jugée. Dans une telle procédure, il appartient au juge de déterminer si les conditions de l'art. 129 al. 1 CC sont remplies. S'il arrive à la conclusion que tel n'est pas le cas, il doit rejeter l'action. Il n'y a dans ce cadre pas de place pour un examen séparé sous l'angle de l'exception de chose jugée pouvant mener à une décision d'irrecevabilité. C'est ainsi à tort que la question de savoir si les faits allégués par l'intimée justifiaient un réexamen de la contribution d'entretien a été traitée dans le cadre de la présente procédure incidente. Le premier juge devra à nouveau examiner ce point dans le jugement au fond sous l'angle de l'art. 129 al. 1 CC. Il lui appartiendra en particulier d'examiner si le départ de l'intimée avait été envisagé par les parties au moment de la conclusion de la convention du 28 septembre 2008, notamment eu égard aux chiffres I et II qui précisent que les parties "exerceront leur droit de garde respectif à l'appartement de [...] ou dans le logement de leur choix" et que la jouissance par l'intimée de l'appartement du domicile du [...] "n’est pas exclusive, dans la mesure où C.X.________ pourra y exercer la garde des enfants (…) et qu’il y disposera à cet effet de sa propre chambre", l'intimée conservant "la possibilité de se trouver, en sus de cet appartement, un logement à son usage exclusif". S'il arrive à la conclusion que l'hypothèse d'un déménagement n'avait pas été envisagée, il devra alors rejeter la demande en modification du jugement de divorce. Si en revanche, il arrive à la conclusion contraire, il devra examiner la question de la contribution d'entretien en nature et de son éventuelle contre-valeur financière. Dès lors que l'exception de chose jugée ne s'applique pas dans le cadre de la procédure en modification du jugement de divorce, l'appel ne peut qu'être rejeté, par substitution de motifs.</w:t>
      </w:r>
    </w:p>
    <w:p>
      <w:r>
        <w:rPr>
          <w:b/>
        </w:rPr>
        <w:t>E. 4</w:t>
      </w:r>
    </w:p>
    <w:p>
      <w:r>
        <w:t>En conclusion, l'appel doit être rejeté et le jugement incident confirmé. Les frais judicaires de deuxième instance, arrêtés à 600 fr. (art. 61 al. 1 TFJC [tarif des frais judiciaires civils du 28 septembre 2010; RSV 270.11.5] par renvoi de l'art. 66 TFJC), sont mis à la charge de l'appelant qui succombe (art. 106 al. 1 CPC). L'appelant versera à l'intimée la somme de 1'500 fr. à titre de dépens de deuxième instance (art. 7 TDC [Tarif des dépens en matière civile ; RSV 270.11.6];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