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601 vom 27. September 2013</w:t>
      </w:r>
    </w:p>
    <w:p>
      <w:r>
        <w:t>VD Tribunal cantonal, 2013-09-27, FR</w:t>
      </w:r>
    </w:p>
    <w:p>
      <w:r>
        <w:rPr>
          <w:b/>
        </w:rPr>
        <w:t xml:space="preserve">Quelle: </w:t>
      </w:r>
      <w:r>
        <w:t>https://mcp.opencaselaw.ch/entscheid/vd_findinfo_HC___2013___601</w:t>
      </w:r>
    </w:p>
    <w:p>
      <w:r>
        <w:t>FR: VD_FINDINFO HC / 2013 / 601 du 27 septembre 2013</w:t>
      </w:r>
    </w:p>
    <w:p>
      <w:r>
        <w:t>IT: VD_FINDINFO HC / 2013 / 601 del 27 settembre 2013</w:t>
      </w:r>
    </w:p>
    <w:p>
      <w:pPr>
        <w:pStyle w:val="Heading2"/>
      </w:pPr>
      <w:r>
        <w:t>Regeste</w:t>
      </w:r>
    </w:p>
    <w:p>
      <w:r>
        <w:t>COPROPRIÉTÉ, CONVENTION D'ARBITRAGE, DÉCISION INCIDENTE, COMPÉTENCE | 649a al. 1 CC, 358 CPC (CH)</w:t>
      </w:r>
    </w:p>
    <w:p>
      <w:pPr>
        <w:pStyle w:val="Heading2"/>
      </w:pPr>
      <w:r>
        <w:t>Erwägungen</w:t>
      </w:r>
    </w:p>
    <w:p>
      <w:r>
        <w:rPr>
          <w:b/>
        </w:rPr>
        <w:t>E. 5</w:t>
      </w:r>
    </w:p>
    <w:p>
      <w:r>
        <w:t>Le 16 mars 2010 (recte : 2011), B.L.________, C.L.________ et D.L.________ ont déposé une requête de mesures superprovisionnelles et provisionnelles. Par ordonnance de mesures superprovisionnelles du 17 mars 2011, la Présidente du Tribunal civil de l’arrondissement de la Broye et du Nord vaudois a interdit à A.D.________ et B.D.________, sous la menace de la peine d’amende prévue à l’article 292 CP pour insoumission à une décision de l’autorité, de procéder à tous travaux, coupe, taille, modification de quelque sorte que ce soit de la haie qui délimite leur part respective de la copropriété n o x sur la Commune d’Assens, ou de faire exécuter les travaux par un tiers (I), interdit à A.D.________ et B.D.________, sous la menace de la peine d’amende prévue à l’article 292 CP pour insoumission à une décision de l’autorité, de procéder à tous travaux sur le robinet extérieur situé à côté de l’entrée principale de la parcelle appartenant aux époux D.________, ou de les faire exécuter par un tiers (II), dit que les frais suivent le sort des mesures provisionnelles (III), déclaré l’ordonnance immédiatement exécutoire et dit qu’elle restera en vigueur jusqu’à décision sur la requête de mesures provisionnelles (IV) et rejeté toutes autres ou plus amples conclusions (V). L’audience de mesures provisionnelles a eu lieu le 30 mai 2011. Deux témoins ont été entendus. La tentative de conciliation a échoué. Par ordonnance de mesures provisionnelles du 21 juin 2011, la Présidente du Tribunal civil de l’arrondissement de la Broye et du Nord vaudois a interdit à A.D.________ et B.D.________, sous la menace de la peine d’amende prévue à l’article 292 CP pour insoumission à une décision de l’autorité, de procéder à tous travaux, coupe, taille, modification de quelque sorte que ce soit de la haie qui délimite leur part respective de la copropriété n o x sur la Commune d’Assens, ou de faire exécuter les travaux par un tiers (I), interdit à B.L.________, C.L.________ et D.L.________ sous la menace de la peine d’amende prévue à l’article 292 CP pour insoumission à une décision de l’autorité, d’utiliser le robinet litigieux sis entièrement sur la partie privée de A.D.________ et B.D.________ (Il), ordonné le déplacement par B.L.________, C.L.________ et D.L.________ sous la menace de la peine d’amende prévue à l’article 292 CP pour insoumission à une décision de l’autorité, du container à ordures sis sur les parties communes, aux fins qu’il n’embaume pas l’intégralité des parties communes des copropriétaires (III) et imparti aux parties un délai au 30 septembre 2011 pour faire valoir leurs droits respectifs en justice (lIlbis). Le délai imparti pour ouvrir action a été prolongé au 3 novembre 2011.</w:t>
      </w:r>
    </w:p>
    <w:p>
      <w:r>
        <w:rPr>
          <w:b/>
        </w:rPr>
        <w:t>E. 6</w:t>
      </w:r>
    </w:p>
    <w:p>
      <w:r>
        <w:t>Par demande du 3 novembre 2011, B.L.________, C.L.________ et D.L.________ ont conclu à ce qu’interdiction soit faite à A.D.________ et B.D.________ de procéder à tous travaux, coupe, taille, modification de quelque sorte que ce soit de la haie qui délimite leur part respective de la copropriété n o x de la Commune d’Assens, ou de faire exécuter les travaux par un tiers.</w:t>
      </w:r>
    </w:p>
    <w:p>
      <w:r>
        <w:rPr>
          <w:b/>
        </w:rPr>
        <w:t>E. 7</w:t>
      </w:r>
    </w:p>
    <w:p>
      <w:r>
        <w:t>Par requête incidente du 22 novembre 2012, A.D.________ et B.D.________ ont conclu, avec suite de frais et dépens, à ce que le Président du Tribunal civil de l’arrondissement de la Broye et du Nord vaudois saisi par la demande de B.L.________, C.L.________ et D.L.________ du 3 novembre 2011 décline sa compétence, au motif que les litiges devaient être soumis à un tribunal arbitral selon le règlement de copropriété. Le 6 décembre 2012, B.L.________, C.L.________ et D.L.________ ont conclu au rejet de la requête incidente. Ils ont déposé des déterminations complémentaires le 17 décembre 2012.</w:t>
      </w:r>
    </w:p>
    <w:p>
      <w:r>
        <w:rPr>
          <w:b/>
        </w:rPr>
        <w:t>E. 8</w:t>
      </w:r>
    </w:p>
    <w:p>
      <w:r>
        <w:t>L’audience incidente s’est tenue le 19 mars 2013. La tentative de conciliation a échoué. En droit : 1. Aux termes de l’art. 237 al. 2 CPC (Code de procédure civile du 19 décembre 2010 ; RS 272), la décision incidente est sujette à recours immédiat ; elle ne peut être attaquée ultérieurement dans le recours contre la décision finale. Par décision incidente, il faut entendre la décision rendue lorsque l’instance de recours pourrait prendre une décision contraire qui mettrait fin au procès et permettrait de réaliser une économie de temps ou de frais appréciable (art. 237 al. 1 CPC). Le jugement attaqué est une décision incidente au sens précité, dès lors qu’en cas d’admission de l’appel, les intimés seraient éconduits d’instance. Pour le surplus, déposé en temps utile (art. 311 al. 1 CPC) par une partie qui y a intérêt (art. 59 al. 2 let. a CPC) et concernant une affaire patrimoniale dont la valeur litigieuse au dernier état des conclusions devant l’autorité précédente est de 10'000 fr. au moins (art. 308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références). 3. Les appelants remettent en cause l’état de fait sur deux points. a) Ils considèrent que la constatation du premier juge selon laquelle l’instruction n’a pas déterminé s’ils ont déclaré accepter le règlement de copropriété lors de l’acquisition de leur part ou à tout autre moment serait « absurde », dès lors que le règlement est inscrit au Registre foncier et s’applique à tout acquéreur. Savoir si tel est le cas est cependant une question de droit, qui sera examinée ci-dessous. Il suffit ici de constater que les appelants ne soutiennent pas qu’ils auraient expressément déclaré accepter le règlement de copropriété dans son entier. b) Les appelants allèguent que le refus de la mise en œuvre d’un arbitrage dans leur lettre du 25 février 2011 ne signifiait pas un refus ferme et exprès d’une procédure arbitrale en tant que telle, mais uniquement un refus d’entrer en procédure dès lors qu’ils estimaient que les points de litige étaient réglés. Les conséquences à en tirer seront examinées ci-dessous dans la discussion en droit. 4. Les appelants soutiennent que la clause d’arbitrage du règlement de copropriété inscrite au Registre foncier trouve application. Aux termes de l’art. 649a CC (Code civil suisse du 10 décembre 1907 ; RS 210), qui s’applique à la copropriété par étages comme à la copropriété ordinaire (ATF 123 III 53, JT 1999 I 179 c. 3a ; ATF 110 la 106, JT 1985 I 22 c. 4b),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Cependant, seules les dispositions du règlement qui se rapportent directement à l’administration et à l’utilisation communes de la chose sont, en vertu de l’art. 649a CC, opposables aux ayants cause d’un copropriétaire. Les dispositions du règlement qui ont un autre objet ne sont pas opposables à ceux-ci en vertu de l’art. 649aCC (ATF 123 III 53, JT 1999 I 179 c. 3a ; ATF 110 la 106, JT 1985 I 22 c. 4b ; Meyer-Hayoz/Rey, in : Commentaire bernois, 1988, n. 84 ad art. 712g CC ; Steinauer, Les droits réels I, 5 e éd., n. 1267 p. 447 ; Wermelinger, Zürcher Kommentar, n. 232 ad art. 712g CC). Une clause compromissoire est une convention par laquelle les parties acceptent de soumettre à un tribunal arbitral toutes les contestations futures qui pourraient naître d’un rapport de droit déterminé (cf. Lalive/Poudret/Reymond, Le droit de l’arbitrage interne et international en Suisse, 1989, n. 3 ad art. 4 CIA). En introduisant une telle clause dans le règlement d’administration et d’utilisation, les copropriétaires d’une PPE ne déterminent pas directement la manière dont ils administreront ou dont ils utiliseront l’immeuble. Dès lors, si l’un d’eux vend sa part à un tiers, l’acquéreur ne sera pas lié en vertu de l’art. 649a CC par la clause compromissoire (TF 4P.113/2001 du 11 septembre 2001 c. 3c/aa et les références). Il en résulte que la clause d’arbitrage doit avoir été acceptée par écrit sous l’empire de l’art. 6 CIA (Concordat intercantonal sur l’arbitrage) et aux conditions prévues aux art. 357 ss CPC sous l’empire du CPC par le propriétaire (d’étages) concerné, faute de quoi elle ne peut lui être opposée (Wermelinger, op. cit, nn. 155 et 232 ad art. 712g CC ; Steinauer, op. cit., n. 1267a p. 448). Dès lors que l’art. 649a CC s’applique tant à la copropriété ordinaire qu’à la copropriété par étages, ces principes s’appliquent également en l’espèce, quoi qu’en disent les appelants. C’est par conséquent à juste titre que le premier juge a considéré que l’on ne pouvait déduire l’existence d’une convention d’arbitrage valable du seul fait qu’une clause arbitrale soit intégrée au règlement de la copropriété, ni de la mention de celui-ci au Registre foncier, dès lors que cette clause est inopposable aux appelants, acquéreurs de la part de copropriété après l’adoption du règlement et son inscription au Registre foncier. 5. Il reste à déterminer si les parties ont passé une convention d’arbitrage. Le premier juge a, à bon droit, examiné la question sous l’angle des art. 357 ss CPC, le nouveau droit étant plus favorable à la reconnaissance de la validité d’une clause d’arbitrage en termes de forme que l’ancien art. 6 CIA (art. 407 al. 1 CPC ; Schweizer, CPC commenté, Bâle 2011, n. 3 ad art. 407 CPC). Selon l’art. 358 CPC, la convention d’arbitrage est passée en la forme écrite ou par tout autre moyen permettant d’en établir la preuve par un texte. L’art. 358 CPC reprend textuellement l’art. 178 al. 1 LDIP (loi fédérale du 18 décembre 1987 sur le droit international privé ; RS 291), applicable en matière internationale. Le législateur a opté pour une règle de forme souple : il faut qu’il existe une trace objectivement vérifiable de l’existence d’une convention d’arbitrage. Il faut donc un « écrit » (texte), établissant de façon sûre la volonté conjointe des parties de soumettre à l’arbitrage un différend éventuel qui pourrait les diviser. La convention d’arbitrage peut être validée, dès l’instant où une trace écrite de la convention d’arbitrage subsiste. Peu importe qu’elle se présente sous la forme classique d’un contrat signé, d’un échange de courriers, de fax, de télex, de télégrammes ou de courriels (Schweizer, op. cit., nn. 2 et 5 ad art. 358 CPC). Une convention d’arbitrage peut également être conclue au moyen d’un renvoi : lorsqu’un contrat se réfère à un document qui contient une clause arbitrale, il fonde la compétence du tribunal arbitral, lorsque la référence est telle que cette clause est intégrée dans le contrat (Müller-Chen/Egger, Kommentar zur Schweizerische Zivilprozessordnung, Sutter-Somm/Hasenböhler/Leuenberger Hrsg, 2013, 2 e éd., n. 18 ad art. 358 CPC). En l’espèce, par courrier du 21 janvier 2011, les intimés ont proposé la mise en oeuvre d’un arbitrage et soumis à la signature des appelants une convention de prorogation de compétence, pour régler un certain nombre de points litigieux, se référant expressément et clairement au règlement de copropriété. Ce faisant, on doit considérer qu’ils ont adhéré à la clause arbitrale figurant dans ledit règlement. Toutefois, les appelants, eux-mêmes acquéreurs postérieurement à l’adoption du règlement et à son inscription au Registre foncier n’étaient pas liés par cette clause, qu’ils devaient accepter aux conditions de forme de l’art. 358 CPC. Leur courrier du 25 février 2011, par lequel ils répondent, sans signer la convention proposée, qu’aucun point n’a à être soumis à un tribunal quel qu’il soit et qu’il est ainsi raisonnable de renoncer à toute procédure ne vaut pas acceptation de la clause arbitrale figurant dans le règlement, ni acceptation d’un quelconque arbitrage. On relèvera sur ce point qu’il incombait bien aux appelants, qui s’en prévalent aujourd’hui, d’établir leur acceptation de l’arbitrage (art. 8 CC) et non aux intimés de démontrer qu’un accord exprès aurait été passé entre les parties sur la compétence des tribunaux ordinaires. La compétence des juridictions ordinaires est en effet la règle et il incombe à celui qui se prévaut de l’existence d’une convention arbitrale de l’établir, la jurisprudence préconisant de ne pas admettre trop facilement qu’une telle convention arbitrale a été conclue, si ce point est contesté (TF 4A_562/2009 du 27 janvier 2010 c. 2.1 ; ATF 129 III 675 c. 2.3 ; ATF 116 Ia 56 c. 3b). Cela étant, les appelants ne sauraient, sans contrevenir aux règles de la bonne foi (art. 52 CPC) et sans commettre un abus de droit (art. 2 CC), se prévaloir en cours d’instance de cette clause arbitrale, alors que les intimés, constatant l’absence d’adhésion des appelants à la clause arbitrale contenue dans le règlement, ainsi que l’absence de signature par ces derniers de la convention d’arbitrage qui leur avait été soumise, ont finalement ouvert action devant la juridiction ordinaire. 6. Il s’ensuit que l’appel doit être rejeté selon le mode procédural de l’art. 312 al. 1 CPC et la décision incidente litigieuse confirmée. Les frais judiciaires de deuxième instance sont arrêtés à 703 fr. (art. 66 et 62 al. 1 TFJC [tarif des frais judiciaires civils du 28 septembre 2010 ; RSV 270.11.5]) et mis à la charge des appelants, solidairement entre eux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