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592 vom 29. August 2013</w:t>
      </w:r>
    </w:p>
    <w:p>
      <w:r>
        <w:t>VD Tribunal cantonal, 2013-08-29, FR</w:t>
      </w:r>
    </w:p>
    <w:p>
      <w:r>
        <w:rPr>
          <w:b/>
        </w:rPr>
        <w:t xml:space="preserve">Quelle: </w:t>
      </w:r>
      <w:r>
        <w:t>https://mcp.opencaselaw.ch/entscheid/vd_findinfo_HC___2013___592</w:t>
      </w:r>
    </w:p>
    <w:p>
      <w:r>
        <w:t>FR: VD_FINDINFO HC / 2013 / 592 du 29 août 2013</w:t>
      </w:r>
    </w:p>
    <w:p>
      <w:r>
        <w:t>IT: VD_FINDINFO HC / 2013 / 592 del 29 agosto 2013</w:t>
      </w:r>
    </w:p>
    <w:p>
      <w:pPr>
        <w:pStyle w:val="Heading2"/>
      </w:pPr>
      <w:r>
        <w:t>Regeste</w:t>
      </w:r>
    </w:p>
    <w:p>
      <w:r>
        <w:t>AVOCAT D'OFFICE, INDEMNITÉ ÉQUITABLE | 110 CPC (CH), 122 al. 1 let. a CPC (CH), 123 CPC (CH), 319 let. b ch. 1 CPC (CH)</w:t>
      </w:r>
    </w:p>
    <w:p>
      <w:pPr>
        <w:pStyle w:val="Heading2"/>
      </w:pPr>
      <w:r>
        <w:t>Erwägungen</w:t>
      </w:r>
    </w:p>
    <w:p>
      <w:r>
        <w:rPr>
          <w:b/>
        </w:rPr>
        <w:t>E. 1</w:t>
      </w:r>
    </w:p>
    <w:p>
      <w:r>
        <w:t>Le recours est recevable contre les autres décisions et ordonnances d’instruction de première instance dans les cas prévus par la loi (art. 319 let. b ch. 1 CPC [Code de procédure civile suisse du 19 décembre 2008 ; RS 272]). En l'espèce, le litige porte sur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 Tappy, op. cit. n. 10 ad art. 110 CPC, CREC 21 mai 2012/181 c.1).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l’occurrence, la décision du 5 juillet 2010, accordant l’assistance judiciaire à l’enfant A.Z.________, met à la charge de sa mère H.________ une contribution mensuelle de 50 francs. La recourante est ainsi touchée par la décision entreprise. Formé en temps utile par une partie qui y a un intérêt digne de protection (art. 59 al. 2 let. a CPC), le présent recours est dès lors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n. 1 ad art. 326 CPC). La pièce nouvelle annexée au recours est dès lors irrecevable.</w:t>
      </w:r>
    </w:p>
    <w:p>
      <w:r>
        <w:rPr>
          <w:b/>
        </w:rPr>
        <w:t>E. 3</w:t>
      </w:r>
    </w:p>
    <w:p>
      <w:r>
        <w:t>Le recourante déclare ne pas comprendre si elle doit encore payer à Me Laurent Schuler l’indemnité d’office fixée par le premier juge, cas échéant après déduction de tous les montants déjà versés, et contester la décision entreprise car sa situation financière ne lui permet pas de payer le montant de 3'027 fr. 25.</w:t>
      </w:r>
    </w:p>
    <w:p>
      <w:r>
        <w:rPr>
          <w:b/>
        </w:rPr>
        <w:t>E. 3.1</w:t>
      </w:r>
    </w:p>
    <w:p>
      <w:r>
        <w:t>Aux termes de l’art. 122 al. 1 let. a CPC, le conseil juridique commis d’office est rémunéré équitablement par le canton. Dans le canton de Vaud, l’art. 2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Le juge apprécie l’étendue des opérations nécessaires pour la conduite du procès. Il applique le tarif horaire de 180 fr. pour un avocat et de 110 fr. pour un avocat-stagiaire. Cette disposition codifie la jurisprudence antérieure rendue sous l’empire de l’ancienne loi du 24 novembre 1981 sur l’assistance judiciaire en matière civile (LAJ). Pour fixer la quotité de l’indemnité, l’autorité cantonale doit s’inspirer des critères applicables à la modération des honoraires d’avocat (arrêt du TF non publié B. du 24 avril 1997; ATF 122 I 1 c. 3a; arrêt du TF non publié C. du 9 novembre 1988). L’indemnité revenant au conseil d’office est fixée en fonction d’une appréciation globale du cas, en tenant compte de la nature et de l’importance de la cause, des difficultés particulières qu’elle peut présenter en fait ou en droit, du temps que le conseil d’office y a consacré et de la qualité de son travail. L’indemnité due au conseil d’office ne comprend pas seulement un montant représentant ses honoraires, mais également le remboursement de ses débours dans la mesure où ceux-ci ne dépassent pas ce qui est nécessaire à l’exécution de sa mission (JT 2002 III 204 ; ATF 122 I 1 ; ATF 117 Ia 22 précité c. 4b).</w:t>
      </w:r>
    </w:p>
    <w:p>
      <w:r>
        <w:rPr>
          <w:b/>
        </w:rPr>
        <w:t>E. 3.2</w:t>
      </w:r>
    </w:p>
    <w:p>
      <w:r>
        <w:t>En l’espèce, les griefs invoqués par la recourante ne concernent pas la quotité de l’indemnité allouée au conseil d’office. Elle conteste cependant devoir encore payer le montant fixé par le premier juge, sous déduction des franchises déjà acquittées. Pour ce faire, elle met en avant la situation financière difficile de la famille, en soulignant que, contrairement à ce que retient le prononcé entrepris dans l’un de ses considérants, l’enfant A.Z.________ reçoit de son père une pension de 300 euros par mois et non pas de 500 euros. Même si la remarque est pertinente, elle est sans incidence sur la fixation de l’indemnité allouée à l’avocat d’office. Rien n’indique au dossier que l’avocat n’aurait pas consacré au mandat les quinze heures retenues par le premier juge, en référence à la liste des opérations produites devant lui. Les opérations mentionnées dans cette liste, en particulier le nombre de lettres, apparaissent plausibles. Lors même qu’il ressort du dossier que l’avocat a participé à deux audiences, la première le 30 novembre 2010 d’une durée de 35 minutes et la seconde le 3 mai 2011 d’une durée de 55 minutes, il n’en indique qu’une seule dans sa liste des opérations. Au regard de ce qui précède, il n’est pas excessif d’avoir retenu que l’avocat a consacré, du 8 juin 2010 au 19 juin 2012, quinze heures à l’affaire litigieuse, qui comprend des mesures provisionnelles  en sus du litige au fond. Le temps consacré, tel que retenu par le premier juge, n’a rien d’arbitraire – le contraire n’étant en tout cas pas démontré. Le montant des débours (83 fr.) peut également être confirmé, étant observé que les frais de vacation, par 20 fr., sont particulièrement bas. Mal fondé, le recours doit ainsi être rejeté.</w:t>
      </w:r>
    </w:p>
    <w:p>
      <w:r>
        <w:rPr>
          <w:b/>
        </w:rPr>
        <w:t>E. 4</w:t>
      </w:r>
    </w:p>
    <w:p>
      <w:r>
        <w:t>Aux termes de l’art. 123 al. 1 CPC, une partie est tenue de rembourser l’assistance judiciaire dès qu’elle est en mesure de le faire. Selon la doctrine, cette disposition permet d’exiger du requérant le versement d’un acompte mensuel dès le début du procès, en particulier lorsque la situation financière du bénéficiaire ne lui permet pas de verser in limine litis un montant important, mais que ses revenus sont suffisants pour affecter régulièrement des montants modestes au paiement des frais de justice (Tappy, CPC Commenté, p. 505, n. 6 ad art. 123 CPC). De pratique constante dans le canton de Vaud, le juge peut demander une participation aux frais du procès sous la forme d’une franchise minimale de 50 fr. par mois. Le premier juge aurait dû faire mention de cette disposition dans la décision querellée ; cet ajout aurait notamment permis à la recourante de comprendre que la bénéficiaire de l’assistance judiciaire ne sera soumise au remboursement au sens de l’art. 123 CPC que si sa situation matérielle s’est améliorée et qu’elle est donc en mesure d’effectuer le remboursement (Tappy, op. cit., n. 5 ad art. 123 CPC). Le prononcé entrepris sera ainsi réformé d’office en ce sens que la bénéficiaire de l’assistance judiciaire est, dans la mesure de l’art. 123 CPC, tenue au remboursement des frais judiciaires et de l’indemnité au conseil d’office mis à la charge de l’Etat.</w:t>
      </w:r>
    </w:p>
    <w:p>
      <w:r>
        <w:rPr>
          <w:b/>
        </w:rPr>
        <w:t>E. 5</w:t>
      </w:r>
    </w:p>
    <w:p>
      <w:r>
        <w:t>En définitive, le recours doit être rejeté en application de l’art. 322 al. 1 CPC et le prononcé réformé d’office dans le sens du considérant qui précède. La présente décision est rendue sans frais (art. 107 al. 2 CPC). La requête d’assistance judiciaire de la recourante est dès lors sans objet.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La décision est réformée d’office comme il suit : I(bis) : La bénéficiaire de l’assistance judiciaire est, dans la mesure de l’art. 123 CPC, tenue au remboursement des frais judiciaires et de l’indemnité au conseil d’office mis à la charge de l’Etat. III. La décision est confirmée pour le surplus. IV. La requête d’assistance judiciaire est sans objet. V. L’arrêt motivé, rendu sans frais ni dépens, est exécutoire. Le président :               Le greffier : Du 30 août 2013 Le dispositif de l'arrêt qui précède est communiqué par écrit aux intéressés. Le greffier : Du L'arrêt qui précède, dont la rédaction a été approuvée à huis clos, est notifié en expédition complète, par l'envoi de photocopies, à : ‑ Mme H.________, ‑ Me Laurent Schuler.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