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59 vom 29. Januar 2013</w:t>
      </w:r>
    </w:p>
    <w:p>
      <w:r>
        <w:t>VD Tribunal cantonal, 2013-01-29, FR</w:t>
      </w:r>
    </w:p>
    <w:p>
      <w:r>
        <w:rPr>
          <w:b/>
        </w:rPr>
        <w:t xml:space="preserve">Quelle: </w:t>
      </w:r>
      <w:r>
        <w:t>https://mcp.opencaselaw.ch/entscheid/vd_findinfo_HC___2013___59</w:t>
      </w:r>
    </w:p>
    <w:p>
      <w:r>
        <w:t>FR: VD_FINDINFO HC / 2013 / 59 du 29 janvier 2013</w:t>
      </w:r>
    </w:p>
    <w:p>
      <w:r>
        <w:t>IT: VD_FINDINFO HC / 2013 / 59 del 29 gennaio 2013</w:t>
      </w:r>
    </w:p>
    <w:p>
      <w:pPr>
        <w:pStyle w:val="Heading2"/>
      </w:pPr>
      <w:r>
        <w:t>Regeste</w:t>
      </w:r>
    </w:p>
    <w:p>
      <w:r>
        <w:t>PROTECTION DE L'UNION CONJUGALE, OBLIGATION D'ENTRETIEN | 176 al. 1 ch. 1 CC, 308 al. 2 CPC (CH), 312 al. 1 CPC (CH)</w:t>
      </w:r>
    </w:p>
    <w:p>
      <w:pPr>
        <w:pStyle w:val="Heading2"/>
      </w:pPr>
      <w:r>
        <w:t>Erwägungen</w:t>
      </w:r>
    </w:p>
    <w:p>
      <w:r>
        <w:rPr>
          <w:b/>
        </w:rPr>
        <w:t>E. 1.1</w:t>
      </w:r>
    </w:p>
    <w:p>
      <w:r>
        <w:t>L'appel est recevable contre les décisions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décisions de mesures protectrices étant régies par la procédure sommaire, selon les art. 248 let. d et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1.2</w:t>
      </w:r>
    </w:p>
    <w:p>
      <w:r>
        <w:t>Formé en temps utile par une partie qui y a intérêt (art. 59 al. 2 let. a CPC)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3.1</w:t>
      </w:r>
    </w:p>
    <w:p>
      <w:r>
        <w:t>L’appelant relève qu’afin d’évaluer sa capacité contributive, la décision attaquée additionne ses revenus et ceux de son fils, puis en déduit leurs charges incompressibles cumulées pour constater l’existence d’un solde positif permettant de contribuer à l’entretien de l’intimée; il fait valoir que le calcul effectué est contraire au droit fédéral, lequel n’impose pas à l’enfant majeur de contribuer à l’entretien de ses parents dans le cadre des mesures protectrices de l’union conjugale. 3.2.1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Dans les cas où les parties ne sont pas dans une situation matérielle favorable,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ou de deux tiers pour le parent gardien (Perrin, La méthode du minimum vital, in SJ 1993, p. 447; Juge délégué CACI 6 novembre 2012/517 c. 3b). 3.2.2 La loi ne dit rien au sujet d'une éventuelle priorité de la pension du conjoint sur celle des enfants mineurs, ou inversement, et le Tribunal fédéral a laissé ce point indécis (ATF 132 III 209 c. 2.3 ; ATF 128 III 411 c. 3.2.2 p. 415 et la jurisprudence citée). 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118 II 97 c. 4b/aa p. 99/100; ATF 127 I 202 c. 3e p. 207). Comme les père et mère doivent être traités d'une manière égale quant à l'estimation de leur capacité financière, la règle du minimum vital élargi et augmenté vaut aussi pour l'autre parent. Si les parents vivent ensemble, leurs besoins respectifs seront calculés d'une façon identique; s'ils sont séparés ou divorcés, la contribution due entre époux devra être prise en considération dans les charges du débirentier. L'obligation d'entretien du conjoint l'emporte ainsi sur celle de l'enfant majeur. Il s'ensuit que, dans la mesure où les prétentions de celui-ci ne peuvent être satisfaites, il devra rechercher directement l'autre parent – à savoir l'époux crédirentier –, pour autant que ce dernier dispose d'une capacité contributive suffisante. Les frais d’entretien de l’enfant majeur ne doivent dès lors pas être inclus dans le minimum vital (élargi) de l’époux crédirentier (ATF 132 III 209 c. 2.3 et les références citées; SJ 2006 I 538; Perrin, Commentaire romand, 2010, n. 21 ad. art. 285 CC, p. 1777). Il n’est pas non plus possible d’inclure dans le minimum vital (élargi) de l’époux créancier d’entretien la participation de celui-ci à l’entretien d’enfants qui sont déjà majeurs au moment de l’ouverture de la procédure (TF 5A_287/2012 du 14 août 2012 c. 3.1.3 et 3.1.4; Juge délégué CACI 24 octobre 2012/495 c. 3b/bb ; Juge délégué CACI 6 novembre 2012/517 c. 3b). Cette jurisprudence vaut également en matière de mesures provisionnelles (ATF 132 III 209 c. 2.3.) et de mesures protectrices de l’union conjugale (TF 5P. 384/2002 du 17 décembre 2002 c. 2.1; Juge délégué CACI 8 novembre 2011/346).</w:t>
      </w:r>
    </w:p>
    <w:p>
      <w:r>
        <w:rPr>
          <w:b/>
        </w:rPr>
        <w:t>E. 3.3</w:t>
      </w:r>
    </w:p>
    <w:p>
      <w:r>
        <w:t>Le premier juge a additionné les revenus de A.S.________ et de son fils [...], dès lors que celui-ci il faisait ménage commun avec celui-là, et en a retranché les charges incompressibles cumulées suivantes totalisant 4'616 fr. 85 : base mensuelle pour couple (1'700 fr.), loyer (1'820 fr.), assurance maladie (411 fr. 50), assurance maladie Bastien estimée (350 fr.), franchise et frais médicaux (83 fr. 35), frais de transport médecin (27 fr.), frais de transport Bastien (225 fr.). Il a considéré qu'il subsistait un solde mensuel de 772 fr. 15, qui permettait à A.S.________ de s’acquitter de la contribution d’entretien réclamée par son épouse.</w:t>
      </w:r>
    </w:p>
    <w:p>
      <w:r>
        <w:rPr>
          <w:b/>
        </w:rPr>
        <w:t>E. 3.4</w:t>
      </w:r>
    </w:p>
    <w:p>
      <w:r>
        <w:t>Or, il convient bien plutôt, conformément à la jurisprudence rappelée plus haut (cf. c. 3.2.2 supra) et comme le relève à juste titre l’appelant, de dissocier clairement les revenus et charges de l’appelant de ceux de son enfant majeur. Cela étant, il convient de tenir compte de ce que l’appelant forme avec son fils une communauté domestique et de ce que [...], eu égard aux revenus qui lui reviennent (1'903 fr., soit 600 fr. de pécule d’apprenti, 1'053 fr. de rente d’invalidité pour enfant perçue par son père et 250 fr. d’allocation de formation perçue par sa mère), est en mesure de participer aux frais du ménage. On prendra dès lors en compte dans la détermination des charges de l’appelant un montant de 910 fr. correspondant à la moitié du loyer (1'820 fr.) de l’appartement qu’il partage avec son fils, ainsi que la moitié du montant de base pour couple, soit 850 fr. (1'700 fr. : 2). A ces montants s’ajoutent 411 fr. 50 pour la prime d’assurance-maladie de l’appelant, 83 fr. 35 pour les frais médicaux non couverts (300 fr. de franchise annuelle et 700 fr. de quote-part annuelle pour les médicaments), 27 fr. de frais de transport pour les rendez-vous de l’appelant chez son médecin nécessités par son diabète, 297 fr. pour le leasing du véhicule et 100 fr. pour le loyer d’une place de parc. Les charges mensuelles incompressibles de l’appelant totalisent ainsi 2’678 fr. 85 (910 fr. + 850 fr. + 411 fr. 50 + 83 fr. 35 + 27 fr. + 297 fr. + 100 fr.). Conformément à la jurisprudence rappelée plus haut (cf. c. 3.2.2 supra), les charges de [...] qui ne seraient pas couvertes par les revenus mensuels de 1'903 fr. revenant à ce dernier ne sauraient être prises en compte dans les charges de l’appelant. Compte tenu des revenus de l’appelant qui s’élèvent à 3’486 fr. par mois et de ses charges qui totalisent 2’678 fr. 85, il reste à A.S.________ un solde mensuel de 807 fr. 15. L’appelant est ainsi en mesure de s’acquitter de la contribution d’entretien de 700 fr. par mois que lui réclame son épouse pour couvrir son minimum vital.</w:t>
      </w:r>
    </w:p>
    <w:p>
      <w:r>
        <w:rPr>
          <w:b/>
        </w:rPr>
        <w:t>E. 4</w:t>
      </w:r>
    </w:p>
    <w:p>
      <w:r>
        <w:t>Il résulte de ce qui précède que l'appel, mal fondé, doit être rejeté dans la procédure de l’art. 312 al. 1 CPC, ce qui entraîne la confirmation de la décision entreprise. L’appelant plaidant au bénéfice de l’assistance judiciaire, les frais judiciaires de deuxième instance, qui doivent être arrêtés à 600 fr. (art. 65 al. 2 TFJC [Tarifs des frais judiciaires civils du 28 septembre 2010; RSV 270.11.5]), seront laissés à la charge de l’Etat (art.122 al. 1 let. b CPC). Sur la base de la liste de frais produite, l’indemnité d’office de Me André Fidanza, conseil d’office de l’appelant, pour la procédure de deuxième instance sera arrêtée à 699 fr. 40, comprenant un défraiement de 615 fr., des débours de 32 fr. 60 et la TVA sur ces montants par 51 fr. 80 (art. 122 al. 2 CPC ; art. 2 al. 1 RAJ [Règlement du 7 décembre 2010 sur l’assistance judiciaire en matière civile; RSV 211.02.3]). Dans la mesure de l’art. 123 CPC, le bénéficiaire de l'assistance judiciaire est tenu au remboursement des frais judiciaires et de l’indemnité à son conseil d’office mis à la charge de l’Etat. L’intimée n'ayant pas été invitée à se déterminer sur l'appel, il n’y a pas lieu d’allouer de dépens de deuxième instance.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laissés à la charge de l’Etat. IV. L'indemnité d'office de Me André Fidanza, conseil d'office de l'appelant  A.S.________, est arrêtée à 699 fr. 40 (six cent nonante-neuf francs et quarante centimes), TVA et débours compris. V. Le bénéficiaire de l'assistance judiciaire est, dans la mesure de l'art. 23 CPC, tenu au remboursement des frais judiciaires et de l'indemnité à son conseil d'office mis à la charge de l'Etat. VI. L'arrêt motivé est exécutoire. Le juge délégué : Le greffier : Du 29 janvier 2013 Le dispositif de l'arrêt qui précède est communiqué par écrit aux intéressés. Le greffier : Du L'arrêt qui précède, dont la rédaction a été approuvée à huis clos, est notifié en expédition complète, par l'envoi de photocopies, à : ‑ Me André Fidanza (pour A.S.________), ‑ Me Sébastien Pedroli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