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565 vom 26. August 2013</w:t>
      </w:r>
    </w:p>
    <w:p>
      <w:r>
        <w:t>VD Tribunal cantonal, 2013-08-26, FR</w:t>
      </w:r>
    </w:p>
    <w:p>
      <w:r>
        <w:rPr>
          <w:b/>
        </w:rPr>
        <w:t xml:space="preserve">Quelle: </w:t>
      </w:r>
      <w:r>
        <w:t>https://mcp.opencaselaw.ch/entscheid/vd_findinfo_HC___2013___565</w:t>
      </w:r>
    </w:p>
    <w:p>
      <w:r>
        <w:t>FR: VD_FINDINFO HC / 2013 / 565 du 26 août 2013</w:t>
      </w:r>
    </w:p>
    <w:p>
      <w:r>
        <w:t>IT: VD_FINDINFO HC / 2013 / 565 del 26 agosto 2013</w:t>
      </w:r>
    </w:p>
    <w:p>
      <w:pPr>
        <w:pStyle w:val="Heading2"/>
      </w:pPr>
      <w:r>
        <w:t>Regeste</w:t>
      </w:r>
    </w:p>
    <w:p>
      <w:r>
        <w:t>AVOCAT D'OFFICE, INDEMNITÉ ÉQUITABLE, ASSISTANCE JUDICIAIRE, EXÉCUTION DE L'OBLIGATION | 122 al. 1 let. a CPC (CH)</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2011, n. 21 ad art. 122 CPC, p. 503).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Faute d’une disposition légale l’autorisant, la production de pièces nouvelles en deuxième instance est prohibée (art. 326 CPC). En l’espèce, les pièces produites par la recourante sont irrecevables dans la mesure où elles ne figurent pas déjà au dossier de première instance.</w:t>
      </w:r>
    </w:p>
    <w:p>
      <w:r>
        <w:rPr>
          <w:b/>
        </w:rPr>
        <w:t>E. 3</w:t>
      </w:r>
    </w:p>
    <w:p>
      <w:r>
        <w:t>La recourante soutient que l’intimée n’était plus mandatée le 19 juin 2013, dès lors qu’elle avait résilié le mandat par courriel du même jour.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Lors de sa désignation, il s'établit, entre l'avocat et l'Etat, un rapport juridique spécial en vertu duquel l'avocat a contre l'Etat une prétention de droit public à être rétribué dans le cadre des prescriptions cantonales applicables (ATF 132 V 200 c. 5.1.4). En l’espèce, l’intimée a été désignée conseil d’office de la recourante par décision du 25 juin 2013 du Président du Tribunal civil de l’arrondissement de La Côte. Il s’est donc créé un rapport juridique spécial de droit public entre l’intimée et l’Etat et ce rapport juridique n’a pris fin que par la décision du 16 juillet 2013 rendue par ce même magistrat. La résiliation antérieure du mandat par la recourante n’a en conséquence pas mis fin à la mission de conseil d’office de l’intimée confiée par l’Etat, et c’est à juste titre que le premier juge a considéré que les opérations effectuées durant la période courant du 19 juin au 23 juillet 2013, date de la notification de la décision du 16 juillet 2013, à l’intimée devaient être indemnisées.</w:t>
      </w:r>
    </w:p>
    <w:p>
      <w:r>
        <w:rPr>
          <w:b/>
        </w:rPr>
        <w:t>E. 4</w:t>
      </w:r>
    </w:p>
    <w:p>
      <w:r>
        <w:t>La recourante fait grief à l’intimé d’avoir trop tardé à déposer la demande d’aide judiciaire et à ouvrir en action en aliments, d’avoir refusé tout contact téléphonique ou direct avec elle et de ne pas lui avoir adressé de courriels d’information ni communiqué les décisions rendues. Elle relève que l’intimée n’a pas justifié le temps consacré aux opérations figurant dans sa liste. Elle lui reproche en outre de n’avoir pas ouvert action au fond pour les autres créances qu’en aliments qu’elle avait contre V.________, alors que cela lui avait été demandé, et d’avoir commis des fautes professionnelles en ne produisant pas devant le Procureur les pièces qu’elle avait produites, en ne se référant pas à des accords antérieurs avec V.________ en ne mentionnant que de manière vague des décisions judiciaires antérieures, en ne mentionnant pas les précédentes condamnations de V.________, en ne tentant pas d’apporter la preuve de la carence de celui-ci, en ne justifiant les études universitaires de sa fille et en mentionnant pas les autres actes délictueux de V.________ notamment à l’égard de son fils mineur. Selon la jurisprudence, pour fixer la rémunération du conseil d’office,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l’avocat d’office pour des opérations qu’il estime inutiles ou superflues. Il doit en outre examiner les griefs relatifs au mauvais accomplissement de son mandat par l’avocat d’office (JT 2013 III 35 et références). En l’espèce, les quatre opérations indemnisées par le premier juge peuvent être considérées comme établies et justifiées par la mission confiée. En outre, si les premiers contacts entre les parties datent de la mi-avril 2013, la recourante n’a rempli le formulaire de demande de l’assistance judiciaire, étape préalable à toute autre opération, que le 29 mai 2013. On ignore la date à laquelle l’intimée a reçu ce formulaire et on ne saurait considérer que le dépôt de la demande d’assistance judiciaire le 19 juin 2013 puisse être considéré comme tardif au point de justifier une réduction de l’indemnité de conseil d’office. L’absence du formulaire de demande d’assistance judiciaire jusqu’au 29 mai 2013 justifie également le refus de contacts de l’intimée, dès lors que comme on l’a vu, les opérations antérieures à la demande d’assistance judiciaire n’ont pas été indemnisées. Quant à l’étendue de la mission, la procuration signée par la recourante ne mentionne que l’action alimentaire et l’avis au débiteurs. On ne saurait donc reprocher à l’intimée de s’être limitée à ces domaines, le paiement de frais, dépens et dommages-intérêts ayant fait l’objet de décisions judiciaires antérieures relevant de la procédure d’exécution, soit d’un autre domaine du droit et de la compétence d’autres autorités judiciaires que celles du droit de la famille. Enfin on ne voit pas en quoi d’éventuelles fautes professionnelles commises dans le cadre d’une procédure pénale devraient influer sur le montant de l’indemnité allouée pour une procédure civile. Dans la mesure où la recourante aurait obtenu l’assistance judiciaire dans le cadre de la procédure ouverte devant un procureur, c’est dans ce cadre qu’elle devrait faire valoir ces griefs. En définitive, aucun des griefs formulés par la recourante ne justifie une réduction de l’indemnité allouée à l’intimée par le premier juge.</w:t>
      </w:r>
    </w:p>
    <w:p>
      <w:r>
        <w:rPr>
          <w:b/>
        </w:rPr>
        <w:t>E. 5</w:t>
      </w:r>
    </w:p>
    <w:p>
      <w:r>
        <w:t>En conclusion, le recours doit être rejeté en application de l’art. 322 al. 1 CPC et la décision confirmée. Vu la faible valeur litigieuse, le présent arrêt peut être rendu sans frais (art. 6 al. 3 TFJC [tarif du 28 septembre 2010 des frais judiciaires civils ; RSV 270.11.5]), ce qui rend sans objet la demande d’assistance judiciaire Par ces motifs, la Chambre des recours civile du Tribunal cantonal, statuant à huis clos, en application de l'art. 322 al. 1 CPC, prononce : I. Le recours est rejeté. II. La décision est confirmée. III. Les frais judiciaires sont laissés à la charge de l’Etat. IV. La requête d’assistance judiciaire est sans objet. V. L’arrêt motivé est exécutoire. Le président :               Le greffier : Du 27 août 2013 Le dispositif de l'arrêt qui précède est communiqué par écrit aux intéressés. Le greffier : Du L'arrêt qui précède, dont la rédaction a été approuvée à huis clos, est notifié en expédition complète, par l'envoi de photocopies, à : ‑ Mme A.Y.________, ‑ 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