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564 vom 9. September 2013</w:t>
      </w:r>
    </w:p>
    <w:p>
      <w:r>
        <w:t>VD Tribunal cantonal, 2013-09-09, FR</w:t>
      </w:r>
    </w:p>
    <w:p>
      <w:r>
        <w:rPr>
          <w:b/>
        </w:rPr>
        <w:t xml:space="preserve">Quelle: </w:t>
      </w:r>
      <w:r>
        <w:t>https://mcp.opencaselaw.ch/entscheid/vd_findinfo_HC___2013___564</w:t>
      </w:r>
    </w:p>
    <w:p>
      <w:r>
        <w:t>FR: VD_FINDINFO HC / 2013 / 564 du 9 septembre 2013</w:t>
      </w:r>
    </w:p>
    <w:p>
      <w:r>
        <w:t>IT: VD_FINDINFO HC / 2013 / 564 del 9 settembre 2013</w:t>
      </w:r>
    </w:p>
    <w:p>
      <w:pPr>
        <w:pStyle w:val="Heading2"/>
      </w:pPr>
      <w:r>
        <w:t>Regeste</w:t>
      </w:r>
    </w:p>
    <w:p>
      <w:r>
        <w:t>PREUVE À FUTUR, DÉCISION SUR FRAIS, FRAIS JUDICIAIRES, EXPERTISE | 104 al. 3 CPC (CH), 106 al. 1 CPC (CH), 158 al. 1 CPC (CH), 158 al. 2 CPC (CH)</w:t>
      </w:r>
    </w:p>
    <w:p>
      <w:pPr>
        <w:pStyle w:val="Heading2"/>
      </w:pPr>
      <w:r>
        <w:t>Erwägungen</w:t>
      </w:r>
    </w:p>
    <w:p>
      <w:r>
        <w:rPr>
          <w:b/>
        </w:rPr>
        <w:t>E. 1</w:t>
      </w:r>
    </w:p>
    <w:p>
      <w:r>
        <w:t>Par renvoi de l'art. 110 CPC, une décision sur les frais, soit les frais judiciaires et les dépens (art. 95 CPC), est susceptible de recours au sens de l'art. 319 let. b ch. 1 CPC. La décision entreprise a été rendue dans le cadre d'une procédure sommaire (art. 248 let. d CPC vu le renvoi de l'art. 158 al. 2 CPC); le délai de recours est ainsi de dix jours (art. 321 al. 2 CPC). Interjeté en temps utile par une partie qui y a un intérêt digne de protection (art. 59 al. 2 let. a CPC), le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Bâle 2010, n. 12 ad art. 319 CPC, p. 1504). Elle revoit librement les questions de droit soulevées par le recourant et peut substituer ses propres motifs à ceux de l'autorité précédente ou du recourant (Hohl, Procédure civile, tome II, 2 ème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et al., Commentaire de la LTF, Berne 2009, n. 19 ad art. 97 LTF, p. 941). b) Le recours déploie avant tout un effet cassatoire ; toutefois, lorsque l'instance supérieure admet le recours et constate que la cause est en état d'être jugée, elle rend une nouvelle décision (art. 327 al. 3 let. b CPC). Dans ce cas, le recours déploie un effet réformatoire (Jeandin, CPC commenté, Bâle 2011, n. 6 ad art. 327 CPC, p. 1287). c) Les conclusions, les allégations de fait et les preuves nouvelles sont irrecevables en procédure de recours (art. 326 CPC). Les pièces produites par la recourante dans son bordereau du 12 juin 2013 l'ont déjà été en première instance; elles sont donc recevables.</w:t>
      </w:r>
    </w:p>
    <w:p>
      <w:r>
        <w:rPr>
          <w:b/>
        </w:rPr>
        <w:t>E. 3</w:t>
      </w:r>
    </w:p>
    <w:p>
      <w:r>
        <w:t>a) La recourante se plaint tant de constatation inexacte des faits que de violation du droit : elle estime que le premier juge a gravement ignoré les résultats de l'expertise judiciaire, laquelle conclut que l'intimée est fautivement responsable de l'intégralité du dommage subi sur le chalet [...] et sa route d'accès privative. Cela étant, elle considère que la faillite de l'intimée, qui avait déjà été prononcée lors de la décision du premier juge, rend désormais impossible toute éventuelle action au fond. Selon la recourante, le premier juge aurait dû tenir compte de cette circonstance et statuer sur les frais, en équité selon l'art. 107 CPC, sans renvoyer leur sort à la décision au fond. b) La procédure de preuve à futur est régie par les dispositions sur les mesures provisionnelles (art. 158 al. 2 CPC). La décision sur les frais est en particulier réglée par l'art. 104 CPC et plus spécifiquement en matière provisionnelle, par son al. 3, aussi applicable à la procédure de preuve à futur (Tappy, CPC commenté, Bâle 2011, n. 7 ad art. 104 CPC, p. 401), qui prévoit que la décision sur les frais peut être renvoyée à la décision finale. La répartition des frais suit les règles de l'art. 106 CPC, qui précise notamment qu'ils sont mis à la charge de la partie succombante (al. 1). Quant aux dépens, ils sont fixés par le tribunal selon le tarif (art. 105 al. 2 CPC). c) Dans le cas d'espèce, il découle des conclusions de la recourante que seule la question des frais judiciaires (art. 95 al. 1 let. a CPC) est discutée, à l'exclusion de l'allocation de dépens (art. 95 al. 1 let. b CPC). Dans un arrêt récent (ATF 139 III 33), le Tribunal fédéral semble privilégier la solution du règlement des frais judiciaires (y compris les dépens) de la procédure de preuve à futur à l'issue de celle-ci, cette procédure étant une procédure indépendante de la procédure au fond, qui se termine au moment où la preuve à futur est administrée. En outre, pour la Haute Cour, ne pas fixer les frais judiciaires d'une telle procédure dans l'attente de savoir si un procès au fond sera ouvert, ce qui dépend du bon vouloir de la partie qui veut faire valoir son droit, contreviendrait au but de la procédure de preuve à futur, qui est d'éviter des procès inutiles. En effet, si aucune action condamnatoire n'est ouverte par la partie qui entend faire valoir son droit, l'autre partie se voit contrainte d'ouvrir elle-même une action au fond pour voir les frais judiciaires fixés. Dans un arrêt de principe du 8 mars 2013, la Chambre de céans a relevé que le juge doit se demander à chaque fois si la procédure de preuve à futur engagée avant toute litispendance sera ou non suivie d'une action au fond. S'il parvient à la conclusion que tel ne sera pas le cas, il doit statuer sur la question des frais et dépens (CREC 8 mars 2013/72). La Chambre de céans a confirmé cette manière de faire dans plusieurs décisions récentes (cf. not. CREC 30 mai 2013/175; CREC 7 juin 2013/191). Cette solution est en harmonie avec la doctrine majoritaire, notamment Tappy (op. cit., n. 14 ad art. 104 CPC, p. 402 et les réf. citées), qui estime que le juge bénéficie d'une très large liberté s'agissant de la fixation des frais judiciaires au stade de la procédure de preuve à futur ou de leur renvoi à la procédure au fond. Il peut fonder sa décision aussi bien sur la plus ou moins grande vraisemblance du droit invoqué que sur son appréciation du risque que la procédure au fond n'ait en réalité jamais lieu ou se déroule devant une autre juridiction, voire devant des arbitres. d) En l'espèce, il résulte des faits que l'expertise a donné entièrement raison à la recourante concernant la responsabilité fautive de l'intimée, du dommage et de sa quotité. Par conséquent, s'agissant en tous cas de la charge des frais judiciaires, en particulier ceux de l'expertise, un règlement de ceux-ci dans le cadre de la procédure de preuve à futur se justifie pleinement au vu de la jurisprudence citée plus haut. A cela s'ajoute que le premier juge aurait dû tenir compte de la faillite de l'intimée, prononcée antérieurement à sa décision, et du fait que, dans cette circonstance, un procès au fond, s'il n'est pas impossible à ouvrir contrairement à ce que soutient la recourante, est peu probable. Au vu de ce qui précède, le moyen soulevé par la recourante est fondé et doit être admis.</w:t>
      </w:r>
    </w:p>
    <w:p>
      <w:r>
        <w:rPr>
          <w:b/>
        </w:rPr>
        <w:t>E. 4</w:t>
      </w:r>
    </w:p>
    <w:p>
      <w:r>
        <w:t>En conclusion, le recours doit être admis. Une annulation ne se justifie pas, dès lors qu'il n'y a pas à apprécier la quotité d'éventuels dépens. La décision entreprise peut donc être réformée dans le sens des conclusions prises. S'agissant des frais judiciaires de deuxième instance, arrêtés à 752 fr. (art. 69 al. 1 TFJC [tarif des frais judiciaires civils du 28 septembre 2010, RSV 270.11.5]), ils seront mis à la charge de l'intimée. En effet, conformément à la jurisprudence relative à l'art. 66 LTF, une partie ne peut pas échapper à la condamnation aux frais judiciaires simplement en s'abstenant de prendre des conclusions. Elle doit être considérée comme la partie qui succombe, qu'elle ait ou non pris des conclusions, dans la mesure où la décision attaquée est modifiée à son détriment (ATF 123 V 156 c. 3; ATF 128 II 90 c. 2). La recourante obtenant entièrement gain de cause, il y a lieu de lui allouer de pleins dépens, que l'on arrêtera à 900 fr., TVA et débours compris, à la charge de l'intimée, qui devra également lui rembourser les avances de frais judiciaires de deuxième instance, par 752 francs. Par ces motifs, la Chambre des recours civile du Tribunal cantonal, statuant à huis clos, prononce : I.              Le recours est admis. II.              La décision est réformée au chiffre III de son dispositif selon la teneur suivante : III. met les frais judiciaires, arrêtés à 45'251 fr 55 (quarante cinq mille deux cent cinquante-et-un francs et cinquante-cinq centimes), à la charge de la masse en faillite M.________SA. Le jugement est confirmé pour le surplus. III.              Les frais judiciaires de deuxième instance, arrêtés à 752 fr. (sept cent cinquante-deux francs), sont mis à la charge de l’intimée masse en faillite M.________SA. IV.              L’intimée masse en faillite M.________SA versera à la recourante S.________ la somme de 1'652 fr. (mille six cent cinquante-deux francs) à titre de dépens et de remboursement des frais judiciaires de deuxième instance. V.              L’arrêt motivé est exécutoire. Le président :               La greffière : Du 10 septembre 2013 Le dispositif de l'arrêt qui précède est communiqué par écrit aux intéressés. La greffière : Du 26 septembre 2013 L'arrêt qui précède, dont la rédaction a été approuvée à huis clos, est notifié en expédition complète, par l'envoi de photocopies, à : ‑ Me Thierry Amy (pour S.________), ‑ Masse en faillite M.________SA. La Chambre des recours civile considère que la valeur litigieuse est de 45'251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