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551 vom 14. August 2013</w:t>
      </w:r>
    </w:p>
    <w:p>
      <w:r>
        <w:t>VD Tribunal cantonal, 2013-08-14, FR</w:t>
      </w:r>
    </w:p>
    <w:p>
      <w:r>
        <w:rPr>
          <w:b/>
        </w:rPr>
        <w:t xml:space="preserve">Quelle: </w:t>
      </w:r>
      <w:r>
        <w:t>https://mcp.opencaselaw.ch/entscheid/vd_findinfo_HC___2013___551</w:t>
      </w:r>
    </w:p>
    <w:p>
      <w:r>
        <w:t>FR: VD_FINDINFO HC / 2013 / 551 du 14 août 2013</w:t>
      </w:r>
    </w:p>
    <w:p>
      <w:r>
        <w:t>IT: VD_FINDINFO HC / 2013 / 551 del 14 agosto 2013</w:t>
      </w:r>
    </w:p>
    <w:p>
      <w:pPr>
        <w:pStyle w:val="Heading2"/>
      </w:pPr>
      <w:r>
        <w:t>Regeste</w:t>
      </w:r>
    </w:p>
    <w:p>
      <w:r>
        <w:t>APPRÉCIATION DES PREUVES, INTERDICTION DE L'ARBITRAIRE, RESPONSABILITÉ DU DÉTENTEUR DE VÉHICULE | 8 CC, 9 Cst., 61 al. 2 LCR</w:t>
      </w:r>
    </w:p>
    <w:p>
      <w:pPr>
        <w:pStyle w:val="Heading2"/>
      </w:pPr>
      <w:r>
        <w:t>Erwägungen</w:t>
      </w:r>
    </w:p>
    <w:p>
      <w:r>
        <w:rPr>
          <w:b/>
        </w:rPr>
        <w:t>E. 1</w:t>
      </w:r>
    </w:p>
    <w:p>
      <w:r>
        <w:t>Le jugement attaqué est une décision finale au sens des art. 308 al. 1 let. a et 319 let. a CPC rendue dans une cause patrimoniale. Le choix de la voie de droit contre une telle décision, entre l’appel et le recours limité au droit au sens des art. 319 ss CPC, voie subsidiaire (art. 319 let. a CPC), se détermine en fonction de la valeur litigieuse de la cause, l’appel n’entrant en ligne de compte qu’en présence d’une valeur litigieuse de 10'000 fr. au moins. En l’espèce, la valeur litigieuse, calculée selon l’art. 91 CPC, s’élève à 9'912 fr. 40, de sorte que c’est la voie du recours qui est ouverte. Interjeté en temps utile (art. 321 al. 1 CPC) par une partie qui y a intérêt (art. 59 al. 2 let. a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Selon l’art. 326 al. 1 CPC, les conclusions, les allégations de faits et les preuves nouvelles sont irrecevables. La pièce nouvelle produite par la recourante est ainsi irrecevable.</w:t>
      </w:r>
    </w:p>
    <w:p>
      <w:r>
        <w:rPr>
          <w:b/>
        </w:rPr>
        <w:t>E. 3</w:t>
      </w:r>
    </w:p>
    <w:p>
      <w:r>
        <w:t>a) Dans un premier moyen, la recourante se plaint d’arbitraire dans la constatation des faits et invoque une violation des règles applicables en matière de fardeau de la preuve. Elle soutient qu’au vu des pièces au dossier, le premier juge ne pouvait pas renvoyer les parties dos à dos sur la question de la violation de la signalisation lumineuse et attribuer les causes de l’accident d’une part à un manque de prudence de D.________ et d’autre part à une perte de maîtrise de T.________. b) Aux termes de l'art. 9 Cst. (Constitution fédérale du 18 avril 1999 ; RS 101), toute personne a le droit d'être traitée par les organes de l'Etat sans arbitraire et conformément aux règles de la bonne foi.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(ATF 136 III 552 c. 4.2 ; TF 1C_517/2010 du 7 mars 2011 c. 2.1). L’art. 55 CPC consacre la maxime des débats comme celle devant en principe s’appliquer en procédure civile. Les parties doivent donc alléguer les faits sur lesquels elles fondent leurs prétentions et produire les preuves qui s’y rapportent. La conséquence et la sanction de cette obligation résident dans le fait que le tribunal ne pourra pas tenir compte dans son jugement des faits qui ne sont pas allégués et prouvés (Haldy, CPC commenté, nn. 1 et 3 ad art. 55 CPC, p. 151). Cette disposition de procédure est un corollaire du principe du fardeau de la preuve consacré à l’art. 8 CC (Code civil suisse du 10 décembre 1907 ; RS 210). c) En l’espèce, on doit admettre avec la recourante que le premier juge a constaté les faits de façon manifestement inexacte. En effet, dès lors que T.________ a signé un constat amiable d’accident indiquant qu’il n’avait pas respecté la signalisation lumineuse, il ne pouvait être retenu que « la preuve n’a pas pu être rapportée que T.________ aurait passé au feu rouge ». Il est vrai qu’en procédure, Y.________ SA, détentrice du véhicule automobile conduit par T.________, a contesté le contenu de ce constat et qu’entendu en qualité de témoin, T.________ a expliqué qu’il n’avait pas rempli lui-même ce constat, qu’il tremblait lors de sa signature et que, bien qu’il l’ait relu, il n’avait pas tout bien regardé, laissant ainsi entendre qu’il n’avait pas signé le constat en toute connaissance de cause. Ce témoignage est cependant sujet à caution dès lors qu’il émane d’un employé de l’intimée directement impliqué dans l’accident, qui a tout intérêt à ce qu’aucune faute ne soit retenue à son encontre. On relèvera également que T.________ ne prétend à aucun moment qu’il aurait respecté le signal lumineux puisqu’il se contente d’affirmer qu’il roulait « normalement », tandis que D.________ a affirmé avoir démarré alors que le feu était vert. S’il est vrai qu’un constat d’accident ne représente pas la preuve stricte du déroulement d’un accident et que la réalité peut diverger d’avec les déclarations même concordantes des conducteurs impliqués, il a été établi, par vision locale, que le signal lumineux de la Route de Buyère passe en phase verte environ trois secondes après que les signaux lumineux de la Route de Crissier passent en phase rouge. Cela étant, si D.________ a démarré alors que le feu de la Route de Buyère était en phase verte, c’est bien que les signaux lumineux de la Route de Crissier étaient en phase rouge depuis trois secondes au moins, de sorte qu’on peut présumer que l’origine de l’accident se trouve dans une inobservation de la signalisation lumineuse. Dans ces circonstances, tout élément relatif à cette inobservation prend une importance déterminante dans l’appréciation des faits. Or, on trouve un tel élément dans le constat d’accident signé par T.________, alors qu’aucun élément en sens contraire n’a été établi, qu’on pourrait inférer de l’absence de dénégation du prénommé relatif à l’inobservation de la signalisation qu’il admet implicitement celle-ci et qu’à tout le moins cette absence de dénégation vient conforter la portée du constat. Au vu de ce qui précède, le premier juge ne pouvait pas faire abstraction de cette inobservation sans verser dans l’arbitraire.</w:t>
      </w:r>
    </w:p>
    <w:p>
      <w:r>
        <w:rPr>
          <w:b/>
        </w:rPr>
        <w:t>E. 4</w:t>
      </w:r>
    </w:p>
    <w:p>
      <w:r>
        <w:t>a) Dans un second moyen, la recourante invoque une fausse application des principes relatifs à la responsabilité civile des détenteurs de véhicules automobiles. Elle critique la répartition du dommage effectuée par le premier juge, laquelle a fait abstraction du critère de la faute (inobservation de la signalisation lumineuse) au profit d’autres critères comme le devoir de prudence et la perte de maîtrise du véhicule. b) Aux termes de l'art. 58 al. 1 LCR, le détenteur est civilement responsable si, par suite de l'emploi d'un véhicule automobile, une personne est tuée ou blessée ou qu'un dommage matériel est causé. Il ne répond en revanche des dommages matériels subis par un autre détenteur que si celui-ci fournit la preuve qu'ils ont été causés par la faute ou l'incapacité passagère de discernement du détenteur intimé ou d'une personne dont il est responsable, ou encore par une défectuosité du véhicule (art. 61 al. 2 LCR). c) En l’espèce, l’intimée Y.________ SA n’a nullement prouvé une faute du chauffeur D.________ à l’origine de l’accident. Au contraire, il ressort du dossier que T.________ n’a pas respecté la signalisation lumineuse présente au carrefour entre la Route de Crissier et celle de Buyère, commettant ainsi une faute grave. Dans ces circonstances, l’intimée ne pouvait rechercher la recourante pour les dommages matériels causés à son véhicule de marque Nissan. Les conclusions en paiement de l’intimée auraient donc du être rejetées, sauf à relever de l’arbitraire, car s’appuyant sur une constatation manifestement inexacte des faits pertinents.</w:t>
      </w:r>
    </w:p>
    <w:p>
      <w:r>
        <w:rPr>
          <w:b/>
        </w:rPr>
        <w:t>E. 5</w:t>
      </w:r>
    </w:p>
    <w:p>
      <w:r>
        <w:t>Les motifs qui précèdent conduisent à l’admission du recours dans le sens du rejet des conclusions de Y.________ SA. Celle-ci supportera les frais judiciaires et devra des dépens à X.________ SA. Les frais judiciaires de deuxième instance, arrêtés à 400 fr. (art. 69 al. 1 TFJC [tarif du 28 septembre 2010 des frais judiciaires civils ; RSV 270.11.5]), sont mis à la charge de l’intimée, qui succombe (art. 106 al. 1 CPC). Obtenant gain de cause, la recourante a droit à de pleins dépens de deuxième instance, qu'il convient d'arrêter à 1'400 fr. pour les honoraires et débours de son conseil, à la charge de l’intimée. Cette dernière remboursera en outre l'avance de frais de deuxième instance, par 400 fr. (art. 106 et 111 CPC ; art. 2, 3 et 8 TDC [tarif du 23 novembre 2010 des dépens en matière civile; RSV 270.11.6]). Par ces motifs, la Chambre des recours civile du Tribunal cantonal, statuant à huis clos, prononce : I. Le recours est admis. II. Le jugement est réformé comme il suit : I. Les conclusions de la demanderesse Y.________ SA sont rejetées. II. Les frais judiciaires, arrêtés à 1'412 fr. (mille quatre cent douze francs), sont mis à la charge de la demanderesse. III. Y.________ SA doit verser à X.________ SA la somme de 3'256 fr. (trois mille deux cent cinquante-six francs) à titre de dépens et de restitution d’avance de frais. IV. Toutes autres ou plus amples conclusions sont rejetées. III. Les frais judiciaires de deuxième instance, arrêtés à 400 fr. (quatre cents francs), sont mis à la charge de l’intimée Y.________ SA. IV. Y.________ SA doit verser à X.________ SA la somme de 1'800 fr. (mille huit cents francs) à titre de dépens et de restitution d’avance de frais de deuxième instance. V. L’arrêt motivé est exécutoire. Le président :               Le greffier : Du 14 août 2013 Le dispositif de l'arrêt qui précède est communiqué par écrit aux intéressés. Le greffier : Du L'arrêt qui précède, dont la rédaction a été approuvée à huis clos, est notifié en expédition complète, par l'envoi de photocopies, à : ‑ Me Grégoire Aubry (pour X.________ SA), ‑ Me David Parisod (pour Y.________ SA). La Chambre des recours civile considère que la valeur litigieuse est de 9'912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