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 vom 24. Januar 2013</w:t>
      </w:r>
    </w:p>
    <w:p>
      <w:r>
        <w:t>VD Tribunal cantonal, 2013-01-24, FR</w:t>
      </w:r>
    </w:p>
    <w:p>
      <w:r>
        <w:rPr>
          <w:b/>
        </w:rPr>
        <w:t xml:space="preserve">Quelle: </w:t>
      </w:r>
      <w:r>
        <w:t>https://mcp.opencaselaw.ch/entscheid/vd_findinfo_HC___2013___55</w:t>
      </w:r>
    </w:p>
    <w:p>
      <w:r>
        <w:t>FR: VD_FINDINFO HC / 2013 / 55 du 24 janvier 2013</w:t>
      </w:r>
    </w:p>
    <w:p>
      <w:r>
        <w:t>IT: VD_FINDINFO HC / 2013 / 55 del 24 gennaio 2013</w:t>
      </w:r>
    </w:p>
    <w:p>
      <w:pPr>
        <w:pStyle w:val="Heading2"/>
      </w:pPr>
      <w:r>
        <w:t>Regeste</w:t>
      </w:r>
    </w:p>
    <w:p>
      <w:r>
        <w:t>RÉSILIATION, BAIL À LOYER, PAIEMENT DE L'ARRIÉRÉ | 257d CO</w:t>
      </w:r>
    </w:p>
    <w:p>
      <w:pPr>
        <w:pStyle w:val="Heading2"/>
      </w:pPr>
      <w:r>
        <w:t>Erwägungen</w:t>
      </w:r>
    </w:p>
    <w:p>
      <w:r>
        <w:rPr>
          <w:b/>
        </w:rPr>
        <w:t>E. 1</w:t>
      </w:r>
    </w:p>
    <w:p>
      <w:r>
        <w:t>a) Le litige porte sur le bien-fondé d'une ordonnance d'expulsion rendue pour défaut de paiement de loyer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b) L'appel, écrit et motivé, est introduit dans les dix jours à compter de la notification de la décision motivée si cette dernière a été rendue en procédure sommaire (art. 314 al. 1 CPC). En l'occurrence, la partie bailleresse a déposé une requête selon la procédure de protection en cas clair de l'art. 257 CPC, de sorte que s'applique la procédure sommaire. Dès lors, formé en temps utile par les locataires qui y ont intérêt (art. 59 al. 1 let. a CPC),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o 2399, p. 435). L'autorité d'appel applique le droit d'office : elle n'est pas liée par les motifs invoqués par les parties ou par le tribunal de première instance. Son pouvoir d'examen est plein et entier (Hohl, op. cit., n o 2396, p. 435; Spühler, Commentaire bâlois, n. 1 ad art. 311 CPC, qui parle de « vollkommenes Rechtsmittel »). L'état de fait de l'ordonnance attaquée a ainsi été complété ci-dessus sur la base des pièces au dossier de première instance.</w:t>
      </w:r>
    </w:p>
    <w:p>
      <w:r>
        <w:rPr>
          <w:b/>
        </w:rPr>
        <w:t>E. 3</w:t>
      </w:r>
    </w:p>
    <w:p>
      <w:r>
        <w:t>a) Les appelants font valoir que s’ils ont rencontré des difficultés de gestion au courant de l’année 2012 et ont eu du retard dans le paiement de leur loyer, ils ont réussi à ce jour à régler leurs arriérés et ont de plus fait en sorte que de tels retards de loyers n’arrivent plus, ayant donné l'ordre à leur banque de faire un ordre permanent mensuel pour le paiement du loyer. Ils exposent qu’étant dans une situation financière difficile, vu leur famille nombreuse et la crise du logement actuelle dans la région, il leur serait très difficile de trouver un nouveau logement et qu’ils n’ont de plus nulle part où aller.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les appelants ne contestent pas avoir été en retard dans le paiement du loyer réclamé. Le délai de trente jours imparti par les courriers du 13 juin 2012 a commencé à courir le 16 juin 2012, lendemain de la date à laquelle ces courriers leur ont été distribués. Ce délai est arrivé à échéance le 16 juillet 2012 (art. 77 al. 1 ch. 1 CO), sans que les appelants n'aient établi avoir payé l'entier de l’arriéré réclamé à cette date (art. 77 al. 3 CO), ce qu'il ne remettent par ailleurs pas en question. L'art. 257d CO donnait dès lors le droit à l’intimée de résilier le bail en cause moyennant un délai de trente jours, ce qu'elle a fait valablement le 23 juillet 2012 pour le 31 août 2012. Par ailleurs, l'expulsion a été requise le 10 septembre 2012, soit après l'expiration du bail (Lachat, op. cit., note infrapaginale 88, p. 816). Vu la règle de l'art. 257d CO, il est sans importance que les appelants aient finalement réglé leur arriéré de loyer. Enfin, dans la mesure où les appelants invoquent des motifs humanitaires, ceux-ci ne sauraient être pris en considération dans l'examen des conditions de l'art. 257d CO.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o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les appelants ne prétendent pas que le congé donné le 23 juillet 2012 serait abusif et il n’apparaît pas que tel serait le cas au regard des principes rappelés ci-dessus.</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 écrits du présent arrêt envoyés, un nouveau délai pour libérer les locaux en cause. Les frais judiciaires de deuxième instance, arrêtés à 200 fr. (art. 62 al. 1 et 3 et 69 al. 1 TFJC [tarif du 28 septembre 2010 des frais judiciaires civils; RSV 270.11.5]), sont mis à la charge des appelants, à parts égales et solidairement entre eux (art. 106 al. 3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