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546 vom 30. August 2013</w:t>
      </w:r>
    </w:p>
    <w:p>
      <w:r>
        <w:t>VD Tribunal cantonal, 2013-08-30, FR</w:t>
      </w:r>
    </w:p>
    <w:p>
      <w:r>
        <w:rPr>
          <w:b/>
        </w:rPr>
        <w:t xml:space="preserve">Quelle: </w:t>
      </w:r>
      <w:r>
        <w:t>https://mcp.opencaselaw.ch/entscheid/vd_findinfo_HC___2013___546</w:t>
      </w:r>
    </w:p>
    <w:p>
      <w:r>
        <w:t>FR: VD_FINDINFO HC / 2013 / 546 du 30 août 2013</w:t>
      </w:r>
    </w:p>
    <w:p>
      <w:r>
        <w:t>IT: VD_FINDINFO HC / 2013 / 546 del 30 agosto 2013</w:t>
      </w:r>
    </w:p>
    <w:p>
      <w:pPr>
        <w:pStyle w:val="Heading2"/>
      </w:pPr>
      <w:r>
        <w:t>Regeste</w:t>
      </w:r>
    </w:p>
    <w:p>
      <w:r>
        <w:t>FRAIS D'EXPERTISE, DÉCISION D'IRRECEVABILITÉ, OBLIGATION DE CHIFFRER LES CONCLUSIONS | 319 let. b ch. 1 CPC (CH), 321 al. 2 CPC (CH), 327 al. 3 let. b CPC (CH)</w:t>
      </w:r>
    </w:p>
    <w:p>
      <w:pPr>
        <w:pStyle w:val="Heading2"/>
      </w:pPr>
      <w:r>
        <w:t>Erwägungen</w:t>
      </w:r>
    </w:p>
    <w:p>
      <w:r>
        <w:rPr>
          <w:b/>
        </w:rPr>
        <w:t>E. 1</w:t>
      </w:r>
    </w:p>
    <w:p>
      <w:r>
        <w:t>Selon l’art. 319 let. b ch. 1 CPC (Code de procédure civile du 19 décembre 2008 ; RS 272), le recours est recevable contre les autres décisions et ordonnances d’instruction de première instance dans les cas prévus par la loi. Tel est le cas d’un prononcé fixant la rémunération de l’expert, la voie du recours étant expressément ouverte par l’art. 184 al. 3 CPC.</w:t>
      </w:r>
    </w:p>
    <w:p>
      <w:r>
        <w:rPr>
          <w:b/>
        </w:rPr>
        <w:t>E. 2</w:t>
      </w:r>
    </w:p>
    <w:p>
      <w:r>
        <w:t>a) Le recours, écrit et motivé, doit s’exercer dans un délai de dix jours à compter de la notification de la décision motivée (art. 321 al. 2 CPC), délai prolongé en l’espèce par les féries (art. 145 al. 1 CPC). Le recourant ne peut se limiter à conclure à l’annulation de la décision attaquée ; il doit prendre des conclusions au fond sous peine d’irrecevabilité du recours, de façon à permettre à l’autorité supérieure de statuer à nouveau dans le cas où les conditions de l’art. 327 al. 3 let. b CPC sont réunies (Jeandin, CPC commenté, n.</w:t>
      </w:r>
    </w:p>
    <w:p>
      <w:r>
        <w:rPr>
          <w:b/>
        </w:rPr>
        <w:t>E. 5</w:t>
      </w:r>
    </w:p>
    <w:p>
      <w:r>
        <w:t>ad art. 321 CPC). Le recours doit contenir des conclusions chiffrées, s’agissant de conclusions pécuniaires, sous peine d’irrecevabilité. A défaut, il n’appartient pas à l’autorité de recours de fixer un délai pour faire préciser les conclusions, si celles-ci n’étaient pas suffisamment précises, l'art. 132 al. 1 et 2 CPC ne s'appliquant pas dans une telle situation. Néanmoins, le juge peut exceptionnellement entrer en matière sur des conclusions déficientes, pour autant que l’on comprenne, à la lecture de la motivation du mémoire de recours, ce que demande le recourant, respectivement à quel montant il prétend (ATF 137 III 617 c. 4 et 5, RSPC 2012, p. 221 et SJ 2012 I 373). b) En l’espèce, les recourants se sont limités à prendre une conclusion en annulation à l’encontre du prononcé du Président du Tribunal civil de l’arrondissement de l’Est vaudois fixant le montant des honoraires de l’expert Z.________ en omettant de prendre des conclusions chiffrées permettant de statuer sur le montant des honoraires de l’expert. De plus, on ne discerne aucun grief de nature formelle, par exemple au sujet de la violation de leur droit d’être entendu, qui aurait permis d’examiner une éventuelle annulation de la décision. Dès lors, leur recours doit être déclaré irrecevable faute de conclusions chiffrées au fond permettant à la Cour de céans de statuer à nouveau (cf. art. 327 al. 3 let. b CPC), ce vice ne pouvant être guéri par la fixation d’un délai de rectification au sens de l’art. 132 CPC. Au demeurant, même à la lecture de la motivation de l’acte de recours, on ne discerne pas quelles seraient les conclusions éventuelles permettant de juger à nouveau, de telle sorte que, conformément à la jurisprudence rappelée ci-dessus, la Cour de céans ne peut entrer en matière sur les conclusions déficientes des recouramts. 3. En définitive, le recours doit être déclaré irrecevable et le présent arrêt peut être rendu sans frais.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Me Pierre-Dominique Schupp (pour K.________ et E.________), ‑ Me Aba Neeman (pour T.________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