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541 vom 19. Juli 2013</w:t>
      </w:r>
    </w:p>
    <w:p>
      <w:r>
        <w:t>VD Tribunal cantonal, 2013-07-19, FR</w:t>
      </w:r>
    </w:p>
    <w:p>
      <w:r>
        <w:rPr>
          <w:b/>
        </w:rPr>
        <w:t xml:space="preserve">Quelle: </w:t>
      </w:r>
      <w:r>
        <w:t>https://mcp.opencaselaw.ch/entscheid/vd_findinfo_HC___2013___541</w:t>
      </w:r>
    </w:p>
    <w:p>
      <w:r>
        <w:t>FR: VD_FINDINFO HC / 2013 / 541 du 19 juillet 2013</w:t>
      </w:r>
    </w:p>
    <w:p>
      <w:r>
        <w:t>IT: VD_FINDINFO HC / 2013 / 541 del 19 luglio 2013</w:t>
      </w:r>
    </w:p>
    <w:p>
      <w:pPr>
        <w:pStyle w:val="Heading2"/>
      </w:pPr>
      <w:r>
        <w:t>Regeste</w:t>
      </w:r>
    </w:p>
    <w:p>
      <w:r>
        <w:t>ASSISTANCE JUDICIAIRE, AVOCAT D'OFFICE, INDEMNITÉ{EN GÉNÉRAL}, QUALITÉ{CARACTÉRISTIQUE}, MANDAT | 122 al. 1 let. a CPC (CH), 2 al. 1 RAJ</w:t>
      </w:r>
    </w:p>
    <w:p>
      <w:pPr>
        <w:pStyle w:val="Heading2"/>
      </w:pPr>
      <w:r>
        <w:t>Erwägungen</w:t>
      </w:r>
    </w:p>
    <w:p>
      <w:r>
        <w:rPr>
          <w:b/>
        </w:rPr>
        <w:t>E. 1</w:t>
      </w:r>
    </w:p>
    <w:p>
      <w:r>
        <w:t>a) Le recours est recevable contre les autres décisions et ordonnances d’instruction de première instance dans les cas prévus par la loi (art. 319 let. b ch. 1 CPC). En l'espèce, le litige porte sur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Cet article prévoyant que la décision sur les frais ne peut être attaquée séparément que par un recours, c'est cette voie de droit qui est ouverte. b)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dix jours (art. 321 al. 2 CPC). 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d) En tant qu'il est dirigé contre la décision du 30 avril 2013, fixant l'indemnité de conseil d'office allouée à Me R.________, le recours, formé en temps utile par une partie qui y a un intérêt digne de protection (art. 59 al. 2 let. a CPC), est recevable. En revanche, en tant qu'il s'en prend à la facture d'un montant de 313 fr. 20 qui lui a été adressée par le Service Juridique et Législatif le 29 avril 2013, le recours doit être déclaré irrecevable. Au moment du dépôt du recours, l'indemnité de conseil d'office de Me C.________ n'avait pas encore été fixée. La seconde décision rendue le 30 avril 2013 par le premier juge se bornait à relever Me C.________ de sa mission et à désigner Me N.________ en remplacement, sans fixer l'indemnité de conseil d'office de celle-là.</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fait grief au premier juge d'avoir retenu que l'intimée ait consacré une heure à son dossier. Il considère que seul leur entretien du 3 juillet 2012, qui a duré dix minutes, pouvait lui être facturé. Le recourant s'en prend également à la qualité du travail accompli par l'intimée, à qui il reproche son absence de professionnalisme. b/aa)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Schweizerische Zivilprozessordnung, Bâle 2010, nn.</w:t>
      </w:r>
    </w:p>
    <w:p>
      <w:r>
        <w:rPr>
          <w:b/>
        </w:rPr>
        <w:t>E. 5</w:t>
      </w:r>
    </w:p>
    <w:p>
      <w:r>
        <w:t>à 7 ad art. 122 CPC). L'avocat d'office a droit au remboursement intégral de ses débours s'inscrivant dans le cadre de l'accomplissement normal de sa tâche, plus à une indemnité s'apparentant aux honoraires d'un avocat de choix, mais qui peut être inférieure à ces honoraires (ATF 122 I 1 c. 3a; ATF 117 la 22 c. 4a; TF 6B_745/2009 du 12 novembre 2009 c. 10.1; TF 6B_273/2009 du 2 juillet 2009 c. 2.1; TF 6B_960/2008 du 22 janvier 2009 c. 1.1; TF 6B_947/2008 du 16 janvier 2009 c. 2;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ATF 117 la 22 précité c. 3a; TF 6B_745/2009 du 12 novembre 2009 c. 10.1; TF 6B_273/2009 du 2 juillet 2009 c. 2.1; TF 6B_102/2009 du 14 avril 2009 c. 2; TF 6B_960/2008 du 22 janvier 2009 c. 1.1;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ATF 122 I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bb) Une distinction s'impose entre la modération d'honoraires et la fixation de l'indemnité d'avocat d'office. En matière de modération, le juge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CREC II 8 octobre 2009/198). Il n’a donc pas la compétence d’examiner les griefs de droit matériel, mais doit uniquement décider si les honoraires réclamés sont proportionnés aux services rendus, ce fractionnement de compétences étant admis par le Tribunal fédéral et la doctrine (TF 4P.131/2004 du 28 septembre 2004 c. 2 et réf. citées ; Bohnet/Martenet, Droit de la profession d'avocat, Berne 2009, n° 3002, pp. 1184-1185). En matière de fixation de l’indemnité d’avocat d’office, en revanche, le juge de l'assistance judiciaire n’a pas seulement à déterminer son montant comme le juge modérateur, mais également à allouer celui‑ci comme le juge civil saisi d’une action en paiement de ses honoraires par l’avocat. Comme retenu par la Cour de céans (CREC 27 février 2013/60; CREC 25 janvier 2013/29),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Cet examen s'impose d'autant plus que le client d’office n’a pas la qualité pour recourir au Tribunal fédéral contre la fixation de dite indemnité, vu qu’il est comptable vis-à-vis de l’Etat des montants que ce dernier a versés à son défenseur (Donzallaz, op. cit., n. 1780 ad art. 64 LTF). D’un point de vue procédural, on doit toutefois constater que, le plus souvent, le client d’office ne participe pas à la procédure à l’issue de laquelle l’indemnité d’office est fixée, de sorte qu’il est empêché à ce stade d’invoquer des manquements de son conseil. On peut dès lors se demander s'il ne devrait pas à tout coup être interpellé par le juge de première instance. Quoi qu'il en soit, lorsque cette interpellation n'a pas eu lieu, dès lors que le pouvoir d’examen de la Chambre des recours civile est restreint et la production de pièces nouvelles prohibée, seule une annulation est de nature à permettre que soient pris en considération des manquements susceptibles de réduire la rémunération de l'avocat d'office. c) En l'espèce, le premier juge a retenu que l'intimée avait chiffré à une heure le temps consacré au dossier pour la période du 20 juin au 3 juillet 2012. Force est cependant d'admettre, avec le recourant, que la décision querellée est erronée sur ce point. L'intimée avait en effet indiqué au premier juge, dans sa lettre du 3 juillet 2012, avoir consacré une demi-heure à son mandat de conseil d'office. La magistrate ne pouvait dès lors pas allouer un montant de 180 fr. à l'intimée, mais un montant maximum de 90 fr., auquel s'ajoute la TVA par 7 fr. 20, soit de 97 fr. 20 au total. A cet égard, le moyen du recourant est fondé et la décision entreprise doit être modifiée en ce sens que l'indemnité de conseil d'office en faveur de l'intimée est fixée à 97 fr. 20, TVA comprise. d) On ne saurait en revanche suivre le recourant lorsqu'il reproche à l'intimée une mauvaise exécution de son mandat. Celle-ci a indiqué, dans sa lettre du 3 juillet 2012, que ses opérations avaient consisté en une conférence et deux lettres. Le recourant a lui-même admis avoir été reçu par ce conseil, qui a entendu ses explications et lui a donné un avis juridique. En chiffrant à une demi-heure cette brève conférence et la rédaction de ces deux lettres, l'intimée n'exagère pas et a effectué la mission qui lui avait été assignée. Sous cet angle, le moyen du recourant est ainsi mal fondé. 4. a) En définitive, le recours doit être partiellement admis dans la mesure de sa recevabilité et la décision entreprise modifiée dans le sens des considérants qui précèdent. b) Les frais judiciaires de deuxième instance, arrêtés à 100 fr. (art. 75 al. 1 TFJC [tarif des frais judiciaires civils du 28 septembre 2010, RSV 270.11.5] par analogie), seront laissés à la charge de l'Etat, le recours ayant été nécessaire pour corriger une erreur du premier juge dont on ne saurait tenir l'autre partie pour responsable (cf. art. 107 al. 2 CPC; CREC du</w:t>
      </w:r>
    </w:p>
    <w:p>
      <w:r>
        <w:rPr>
          <w:b/>
        </w:rPr>
        <w:t>E. 10</w:t>
      </w:r>
    </w:p>
    <w:p>
      <w:r>
        <w:t>août 2012/277). c) Le recourant a requis d'être mis au bénéfice de l'assistance judiciaire. Dans la mesure où il a été dispensé de l'avance de frais et que les frais seront laissés à la charge de l'Etat, d'une part, et qu'il a agi sans l'assistance d'un conseil juridique, d'autre part, sa requête d'assistance judiciaire est devenue sans objet. d) Il n'y a pas lieu à l'allocation de dépens de deuxième instance, l'intimée n'ayant pas été invitée à se déterminer. Par ces motifs, la Chambre des recours civile du Tribunal cantonal, statuant à huis clos, prononce : I. Le recours est partiellement admis dans la mesure de sa recevabilité. II. La décision rendue le 30 avril 2013 par la Présidente du Tribunal civil de l’arrondissement de l’Est vaudois est modifiée, en ce sens que l’indemnité de conseil d’office de L.________, allouée à l’avocate R.________, est fixée à 97 fr. 20, débours et TVA inclus, pour la période du 20 juin au 3 juillet 2012. La décision est confirmée pour le surplus. III. Les frais judiciaires de deuxième instance, arrêtés à 100 fr. (cent francs), sont laissés à la charge de l’Etat. IV. La requête d’assistance judiciaire est sans objet. V. L’arrêt motivé est exécutoire. Le président :               La greffière : Du 22 juillet 2013 Le dispositif de l'arrêt qui précède est communiqué par écrit aux intéressés. La greffière : Du L'arrêt qui précède, dont la rédaction a été approuvée à huis clos, est notifié en expédition complète, par l'envoi de photocopies, à : ‑ M. L.________, ‑ Me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