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 vom 23. Januar 2013</w:t>
      </w:r>
    </w:p>
    <w:p>
      <w:r>
        <w:t>VD Tribunal cantonal, 2013-01-23, FR</w:t>
      </w:r>
    </w:p>
    <w:p>
      <w:r>
        <w:rPr>
          <w:b/>
        </w:rPr>
        <w:t xml:space="preserve">Quelle: </w:t>
      </w:r>
      <w:r>
        <w:t>https://mcp.opencaselaw.ch/entscheid/vd_findinfo_HC___2013___54</w:t>
      </w:r>
    </w:p>
    <w:p>
      <w:r>
        <w:t>FR: VD_FINDINFO HC / 2013 / 54 du 23 janvier 2013</w:t>
      </w:r>
    </w:p>
    <w:p>
      <w:r>
        <w:t>IT: VD_FINDINFO HC / 2013 / 54 del 23 gennaio 2013</w:t>
      </w:r>
    </w:p>
    <w:p>
      <w:pPr>
        <w:pStyle w:val="Heading2"/>
      </w:pPr>
      <w:r>
        <w:t>Regeste</w:t>
      </w:r>
    </w:p>
    <w:p>
      <w:r>
        <w:t>BAIL À LOYER, LOCAL PROFESSIONNEL, COMPÉTENCE RATIONE MATERIAE, JUGE DE PAIX, TRIBUNAL DES BAUX, EFFICACITÉ, RÉSILIATION, CONCLUSIONS | 5 al. 1 ch. 30 CDPJ, 1 al. 3 LJB</w:t>
      </w:r>
    </w:p>
    <w:p>
      <w:pPr>
        <w:pStyle w:val="Heading2"/>
      </w:pPr>
      <w:r>
        <w:t>Erwägungen</w:t>
      </w:r>
    </w:p>
    <w:p>
      <w:r>
        <w:rPr>
          <w:b/>
        </w:rPr>
        <w:t>E. 1</w:t>
      </w:r>
    </w:p>
    <w:p>
      <w:r>
        <w:t>al. 2 LJB prévoit que ces contestations relèvent de la compétence exclusive du Tribunal des baux. Selon l’art. 1 al. 3 LJB, cette loi ne s’applique cependant pas aux procédures d’expulsion dans le cas où le bail est résilié en raison d’un retard dans le paiement du loyer. L’art. 5 al. 1 ch. 30 CDPJ précise que le Juge de paix est compétent pour expulser l’ancien locataire ou fermier dont le bail a été résilié faute de paiement du loyer ou du fermage. Dans un arrêt du 29 mai 2012, la Cour de céans a considéré que, dans le cadre d’un congé donné en application de l’art. 257d CO, lorsque des conclusions en expulsion sont prises par le bailleur devant la Commission de conciliation à titre principal ou reconventionnel, cette dernière devra indiquer dans son autorisation de procéder le Juge de paix comme autorité devant laquelle devra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(JT 2012 III 126; CdB 2012 p. 97, note Sonnenberg). Cet arrêt laisse ouverte la question de la compétence du Juge de paix dans les litiges portant sur un congé donné en application de l’art. 257d CO lorsque le bailleur, comme en l’espèce, n’a pas pris de conclusions en expulsion devant la Commission de conciliation. La LJB a repris la répartition de compétences entre le Tribunal des baux et le Juge de paix qui existait déjà sous le régime de l’ancien droit cantonal. Sous l’empire de l’art. 1 al. 1 aLPEBL (Loi du 18 mai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doit considérer qu’il en va de même dans le nouveau droit, au regard du texte clair des art. 1 al. 3 LJB et 5 al. 1 ch. 30 CDPJ, qui parlent de “procédure d’expulsion”, ce qui présuppose qu’une conclusion ait été prise en ce sens par le bailleur. Dans les hypothèses — qui devraient rester rares — où le bailleur n’a pas pris de conclusions principales ou reconventionnelles en expulsion devant la Commission de conciliation, ni agi en expulsion par la procédure en cas clair de l’art. 257 CPC directement devant le Juge de paix, on doit dès lors retenir une compétence du Tribunal des baux, conformément à la règle générale de l’art. 1 al. 1 LJB. d) En l'espèce, l'intimée n'ayant pris aucune conclusion tendant à l'expulsion de l'appelante que ce soit devant la Commission de conciliation ou devant une autre autorité, le Tribunal des baux est compétent pour traiter des conclusions VII a) et VII b) de la demande du 1 er juin 2012. Dès lors, l’appel est bien fondé.</w:t>
      </w:r>
    </w:p>
    <w:p>
      <w:r>
        <w:rPr>
          <w:b/>
        </w:rPr>
        <w:t>E. 4</w:t>
      </w:r>
    </w:p>
    <w:p>
      <w:r>
        <w:t>En définitive, l'appel est admis et le prononcé attaqué doit être réformé en ce sens que les conclusions VII a) et VII b) de la demande du 1 er juin 2012 sont recevables et les frais judiciaires arrêtés à 300 fr. mis à la charge de l'intimée. Cette dernière s’en est remise à justice, sans cependant adhérer aux conclusions de l’appelante. Elle doit être considérée comme partie succombante (cf. Corboz, Commentaire de la LTF, Berne 2009, n. 38 ad art. 66 LTF). En conséquence, les frais judiciaires, arrêtés à 2'954 fr. (art. 62 al. 1 TFJC [Tarif des frais judiciaires civils du 28 septembre 2010, RSV 270.11.5]), doivent être mis à sa charge (art. 106 al. 1 CPC). Au vu du travail fourni par le conseil de l'appelante, à savoir principalement un mémoire d'appel de cinq pages, les dépens de deuxième instance dus par l'intimée sont arrêtés à 1'800 fr. (art. 9 al. 2 TDC [Tarif des dépens en matière civile du 23 novembre 2010, RSV 270.11.6]). Cette dernière devra donc verser à l'appelante le montant total de 4'754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