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539 vom 19. August 2013</w:t>
      </w:r>
    </w:p>
    <w:p>
      <w:r>
        <w:t>VD Tribunal cantonal, 2013-08-19, FR</w:t>
      </w:r>
    </w:p>
    <w:p>
      <w:r>
        <w:rPr>
          <w:b/>
        </w:rPr>
        <w:t xml:space="preserve">Quelle: </w:t>
      </w:r>
      <w:r>
        <w:t>https://mcp.opencaselaw.ch/entscheid/vd_findinfo_HC___2013___539</w:t>
      </w:r>
    </w:p>
    <w:p>
      <w:r>
        <w:t>FR: VD_FINDINFO HC / 2013 / 539 du 19 août 2013</w:t>
      </w:r>
    </w:p>
    <w:p>
      <w:r>
        <w:t>IT: VD_FINDINFO HC / 2013 / 539 del 19 agosto 2013</w:t>
      </w:r>
    </w:p>
    <w:p>
      <w:pPr>
        <w:pStyle w:val="Heading2"/>
      </w:pPr>
      <w:r>
        <w:t>Regeste</w:t>
      </w:r>
    </w:p>
    <w:p>
      <w:r>
        <w:t>AVOCAT D'OFFICE, INDEMNITÉ{EN GÉNÉRAL} | 110 CPC (CH), 122 al. 1 let. a CPC (CH)</w:t>
      </w:r>
    </w:p>
    <w:p>
      <w:pPr>
        <w:pStyle w:val="Heading2"/>
      </w:pPr>
      <w:r>
        <w:t>Erwägungen</w:t>
      </w:r>
    </w:p>
    <w:p>
      <w:r>
        <w:rPr>
          <w:b/>
        </w:rPr>
        <w:t>E. 1</w:t>
      </w:r>
    </w:p>
    <w:p>
      <w:r>
        <w:t>Le recours est recevable contre les autres décisions et ordonnances d’instruction de première instance dans les cas prévus par la loi (art. 319 let. b ch. 1 CPC).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 Tappy, op. cit. n. 10 ad art. 110 CPC, CREC 21 mai 2012/181 c.1).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Formé en temps utile par une partie qui y a un intérêt digne de protection (art. 59 al. 2 let. a CPC),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conteste la totalité de l’indemnité allouée à son conseil d’office, en faisant valoir que c’est son mari qui se trouve à l’origine de la procédure de mesures protectrices de l’union conjugale et que sa situation financière ne lui permet quoi qu’il en soit pas de payer cette indemnité.</w:t>
      </w:r>
    </w:p>
    <w:p>
      <w:r>
        <w:rPr>
          <w:b/>
        </w:rPr>
        <w:t>E. 3.1</w:t>
      </w:r>
    </w:p>
    <w:p>
      <w:r>
        <w:t>Aux termes de l’art. 122 al. 1 let. a CPC, le conseil juridique commis d’office est rémunéré équitablement par le canton. L’avocat d’office a droit au remboursement intégral de ses débours s’inscrivant dans le cadre de l’accomplissement normal de sa tâche, plus à une indemnité s’apparentant aux honoraires d’un avocat de choix, mais qui peut être inférieure à ses honoraires (ATF 122 I 1 c. 3a, ATF 117 Ia 22 c. 4a ; TF 6B_745/2009 du 12 novembre 2009 c. 10.1 ;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ou en droit, du temps que le conseil d’office y a consacré et de la qualité de son travail, du nombre de conférences, d’audiences et d’instances auxquelles il a pris part, du résultat obtenu et, enfin, de la responsabilité qu’il a assumée (ATF 117 Ia précité c. 3a ; ATF 109 Ia 107 c. 3b ; TF 6B_273/2009 du 2 juillet 2009 c. 2.1 ; TF 6B_ 102/2009 du 14 avril 2009 c. 2 ; TF 6B_ 960/2008 du 22 janvier 2009 c. 1.1 ; TF 6B_947/2008 du 16 janvier 2009 c. 2).</w:t>
      </w:r>
    </w:p>
    <w:p>
      <w:r>
        <w:rPr>
          <w:b/>
        </w:rPr>
        <w:t>E. 3.2</w:t>
      </w:r>
    </w:p>
    <w:p>
      <w:r>
        <w:t>En l’espèce, les griefs invoqués par la recourante ne concernent en réalité pas la fixation de l’indemnité d’office. On relève d’ailleurs à cet égard que le premier juge a fixé l’indemnité  après avoir contrôlé la liste d’opérations déposée par l’avocate Annik Nicod et s’être assuré que le temps de travail annoncé était en adéquation avec les actes accomplis par le conseil d’office. L’appréciation du juge de première instance ne prête pas le flanc à la critique et doit être confirmée. Au surplus, à supposer que sa partie adverse eût dû assumer les frais d’avocat de la recourante, cette question aurait dû être traitée dans le cadre de la procédure au fond, par le biais des dépens, distincts de l’indemnité du conseil d’office. De la même manière, la capacité de la recourante à rembourser cette indemnité n’a pas à être examinée dans la présente procédure, dès lors que le prononcé litigieux précise au chiffre II de son dispositif que la bénéficiaire de l’assistance judiciaire est tenue au remboursement dans la mesure de l’art. 123 CPC. Le moyen de la recourante doit par conséquent être rejeté.</w:t>
      </w:r>
    </w:p>
    <w:p>
      <w:r>
        <w:rPr>
          <w:b/>
        </w:rPr>
        <w:t>E. 4</w:t>
      </w:r>
    </w:p>
    <w:p>
      <w:r>
        <w:t>En définitive, le recours doit être rejeté en application de l'art. 322 al. 1 CPC et le prononcé confirmé. Les frais judiciaires de deuxième instance, arrêtés à 100 fr. (art. 69 al. 3 TFJC [Tarif des frais judiciaires civils du 28 septembre 2010; RSV 270.11.5]), sont mis à la charge de la recourante qui succombe (art. 106 al. 1 CPC). Il n'y a pas matière à l'allocation de dépens de deuxième instance, l'intimée n'ayant pas été invitée à se déterminer. Par ces motifs, la Chambre des recours civile du Tribunal cantonal, statuant à huis clos, en application de l'art. 322 al. 1 CPC, prononce : I. Le recours est rejeté. II. Le prononcé est confirmé. III. Les frais judiciaires de deuxième instance, par 100 fr. (cent francs), sont mis à la charge de la recourante C.________. IV. L’arrêt motivé est exécutoire. Le président :               Le greffier : Du 20 août 2013 Le dispositif de l'arrêt qui précède est communiqué par écrit aux intéressés. Le greffier : Du L'arrêt qui précède, dont la rédaction a été approuvée à huis clos, est notifié en expédition complète, par l'envoi de photocopies, à : ‑ Mme C.________, ‑ Me Annik Nicod.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