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527 vom 12. Juli 2013</w:t>
      </w:r>
    </w:p>
    <w:p>
      <w:r>
        <w:t>VD Tribunal cantonal, 2013-07-12, FR</w:t>
      </w:r>
    </w:p>
    <w:p>
      <w:r>
        <w:rPr>
          <w:b/>
        </w:rPr>
        <w:t xml:space="preserve">Quelle: </w:t>
      </w:r>
      <w:r>
        <w:t>https://mcp.opencaselaw.ch/entscheid/vd_findinfo_HC___2013___527</w:t>
      </w:r>
    </w:p>
    <w:p>
      <w:r>
        <w:t>FR: VD_FINDINFO HC / 2013 / 527 du 12 juillet 2013</w:t>
      </w:r>
    </w:p>
    <w:p>
      <w:r>
        <w:t>IT: VD_FINDINFO HC / 2013 / 527 del 12 luglio 2013</w:t>
      </w:r>
    </w:p>
    <w:p>
      <w:pPr>
        <w:pStyle w:val="Heading2"/>
      </w:pPr>
      <w:r>
        <w:t>Regeste</w:t>
      </w:r>
    </w:p>
    <w:p>
      <w:r>
        <w:t>AVANCEMENT D'HOIRIE, CRÉANCE, MODIFICATION{EN GÉNÉRAL}, INVENTAIRE, DROIT DES SUCCESSIONS | 581 CC</w:t>
      </w:r>
    </w:p>
    <w:p>
      <w:pPr>
        <w:pStyle w:val="Heading2"/>
      </w:pPr>
      <w:r>
        <w:t>Erwägungen</w:t>
      </w:r>
    </w:p>
    <w:p>
      <w:r>
        <w:rPr>
          <w:b/>
        </w:rPr>
        <w:t>E. 1</w:t>
      </w:r>
    </w:p>
    <w:p>
      <w:r>
        <w:t>LOJV [Loi vaudoise d'organisation judiciaire du 12 décembre 1979; RSV 173.01]). Statuant sur la requête en rectification de l’inventaire civil, le juge de paix a refusé de modifier l’inventaire litigieux le 25 avril 2013. Le recours, déposé le 26 avril 2013, l'a été en temps utile. En qualité d’héritier du défunt, A.Q.________ a un intérêt juridique à recourir. Il s’ensuit que le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fait valoir, en lien avec le chiffre 11 du bénéfice d’inventaire, que le montant de 7'500'000 FF, converti en euros puis en francs suisses au cours de 1.20735, est tiré exclusivement du testament du 25 juillet 2012, qui mentionne que "A.Q.________ , à (sic) déjà reçu un montant de FF 7'500'000,0 le montant plus les intérêts, sera ajouté à la succession ". Le recourant prétend que le montant en question ne correspond pas aux sommes qui ont été avancées par le défunt, le texte du testament ne se fondant sur aucun élément objectif, ni titre ou document. Le montant que le recourant admet avoir reçu de la part du de cujus , pour autant qu’il s’agisse d’un avancement d’hoirie, est de 339'102 EUR 52 , soit 409'415 fr. 51, au cours de 1.20735. Selon le recourant, l’inventaire doit être modifié en conséquence et tenir compte non seulement du montant effectif d’éventuelles prétentions, mais encore de leur fondement juridique exact, afin de renseigner de manière correcte les héritiers sur les actifs et les passifs de la succession. b)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Selon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4ème éd., 2011, n. 1 ad art. 583 CC, p. 593). Les créanciers et les débiteurs sont avisés de l'inventaire (art. 583 al. 2 CC). Selon la doctrine, l'autorité qui établit l'inventaire n'a pas à se préoccuper du caractère fondé des dettes du défunt portées à l'inventaire, l'inventaire n'ayant qu'un effet déclaratif (Wissmann, op. cit., n. 11 ad art. 581 CC, p. 585). La restriction de la responsabilité de l’héritier découlant de l’inventaire ne vaut que pour les dettes de la succession ; l’inventaire ne déploie aucun effet quant aux actifs successoraux (ATF 113 II 118, JT 1988 I 148, Wissmann, op. cit., n. 5 ad art. 580-592, p. 572) c) En l'espèce, le montant inventorié ressort du testament olographe du défunt qui fait état d'un montant de 7'500'000 FF, soit à 1'143'368 EUR, ce qui correspond effectivement à 1'380'434 fr. en tenant compte d'un cours de 1.20735. Le montant litigieux a été comptabilisé en tant qu’actif de la succession par l’exécuteur testamentaire (cf. lettre du 5 avril 2013 de Me N.________ et décision de refus de rectification de l’inventaire du juge de paix du 25 avril 2013) et figure à l'actif de l'inventaire attaqué. Celui-ci ne déployant aucun effet quant aux actifs successoraux, il en résulte que l'argumentation du recourant, selon laquelle ce montant devrait être corrigé ou modifié, est vaine. L’inventaire, qui a principalement un rôle informatif, n’a par ailleurs aucune incidence sur la qualification juridique exacte du " prêt " octroyé par le défunt au recourant. Il n’y a dès lors pas lieu de rectifier la terminologie utilisée par le premier juge, dans la mesure où l’on comprend qu’il s’agit d’un montant octroyé à l’un des héritiers (en l’occurrence le recourant) par le défunt. C’est donc à bon droit que la première autorité a indiqué sous la rubrique " 11. Avancement d’hoirie, créance contre l’héritier " le montant de 1'380'434 fr., étant observé que la conversion francs français – euros, ainsi que le cours appliqué (de 1.20735) pour la conversion en francs suisses ne sont pas contestés par le recourant.</w:t>
      </w:r>
    </w:p>
    <w:p>
      <w:r>
        <w:rPr>
          <w:b/>
        </w:rPr>
        <w:t>E. 5</w:t>
      </w:r>
    </w:p>
    <w:p>
      <w:r>
        <w:t>Le recourant fait encore valoir que l’inventaire a omis de prendre en considération ses propres prétentions à l’égard de la succession de feu Z.Q.________, qui ne sont pas chiffrables en l’état. Dès lors qu’il ne ressort pas des actes de la cause que le recourant aurait, dans le délai de production imparti, fait valoir les prétentions en question — ce qui n’est du reste même pas allégué dans l'acte de recours —, le grief est infondé.</w:t>
      </w:r>
    </w:p>
    <w:p>
      <w:r>
        <w:rPr>
          <w:b/>
        </w:rPr>
        <w:t>E. 6</w:t>
      </w:r>
    </w:p>
    <w:p>
      <w:r>
        <w:t>Au vu de ce qui précède, le recours doit être rejeté en vertu de l’art. 322 al. 1 CPC et la décision attaquée confirmée. Les frais judiciaires de deuxième instance, arrêtés à 1'000 fr. (art. 74 al. 1 TFJC [Tarif des frais judiciaires civils du 28 septembre 2010, RSV 270.11.5]), doivent être mis à la charge du recourant qui succombe (art. 106 al. 1 CPC). Il n’y a pas lieu d’allouer de dépens,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arrêtés à 1'000 fr. (mille francs), sont mis à la charge du recourant A.Q.________. IV. L’arrêt motivé est exécutoire. Le président :               Le greffier : Du 15 juillet 2013 Le dispositif de l'arrêt qui précède est communiqué par écrit aux intéressés. Le greffier : Du L'arrêt qui précède, dont la rédaction a été approuvée à huis clos, est notifié en expédition complète, par l'envoi de photocopies, à : ‑ Me Michel Dupuis (pourA.Q.________), - Mme B.Q.________, - M. C.Q.________, ‑ Mme W.________, - Me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